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ind w:firstLine="709"/>
        <w:jc w:val="both"/>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both"/>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both"/>
        <w:spacing w:after="0" w:line="240" w:lineRule="auto"/>
        <w:rPr>
          <w:rFonts w:ascii="Times New Roman" w:hAnsi="Times New Roman" w:cs="Times New Roman"/>
          <w:b/>
          <w:sz w:val="28"/>
          <w:szCs w:val="28"/>
        </w:rPr>
      </w:pPr>
      <w:r>
        <w:rPr>
          <w:rFonts w:ascii="Times New Roman" w:hAnsi="Times New Roman" w:cs="Times New Roman"/>
          <w:b/>
          <w:sz w:val="28"/>
          <w:szCs w:val="28"/>
          <w:lang w:eastAsia="ru-RU"/>
        </w:rPr>
        <mc:AlternateContent>
          <mc:Choice Requires="wpg">
            <w:drawing>
              <wp:anchor xmlns:wp="http://schemas.openxmlformats.org/drawingml/2006/wordprocessingDrawing" xmlns:wp14="http://schemas.microsoft.com/office/word/2010/wordprocessingDrawing" distT="0" distB="0" distL="114300" distR="114300" simplePos="0" relativeHeight="251659264" behindDoc="0" locked="0" layoutInCell="1" allowOverlap="1">
                <wp:simplePos x="0" y="0"/>
                <wp:positionH relativeFrom="margin">
                  <wp:posOffset>-756285</wp:posOffset>
                </wp:positionH>
                <wp:positionV relativeFrom="margin">
                  <wp:posOffset>622935</wp:posOffset>
                </wp:positionV>
                <wp:extent cx="6838950" cy="4448175"/>
                <wp:effectExtent l="19050" t="0" r="0" b="0"/>
                <wp:wrapSquare wrapText="bothSides"/>
                <wp:docPr id="1"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pic:cNvPicPr>
                        <pic:nvPr/>
                      </pic:nvPicPr>
                      <pic:blipFill>
                        <a:blip r:embed="rId13"/>
                        <a:stretch/>
                      </pic:blipFill>
                      <pic:spPr bwMode="auto">
                        <a:xfrm>
                          <a:off x="0" y="0"/>
                          <a:ext cx="6838950" cy="4448175"/>
                        </a:xfrm>
                        <a:prstGeom prst="rect">
                          <a:avLst/>
                        </a:prstGeom>
                        <a:noFill/>
                        <a:ln w="9525">
                          <a:noFill/>
                          <a:miter lim="800000"/>
                          <a:headEnd/>
                          <a:tailEnd/>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251659264;o:allowoverlap:true;o:allowincell:true;mso-position-horizontal-relative:margin;margin-left:-59.55pt;mso-position-horizontal:absolute;mso-position-vertical-relative:margin;margin-top:49.05pt;mso-position-vertical:absolute;width:538.50pt;height:350.25pt;mso-wrap-distance-left:9.00pt;mso-wrap-distance-top:0.00pt;mso-wrap-distance-right:9.00pt;mso-wrap-distance-bottom:0.00pt;" stroked="f" strokeweight="0.75pt">
                <v:path textboxrect="0,0,0,0"/>
                <w10:wrap type="square"/>
                <v:imagedata r:id="rId13" o:title=""/>
              </v:shape>
            </w:pict>
          </mc:Fallback>
        </mc:AlternateContent>
      </w:r>
      <w:r>
        <w:rPr>
          <w:rFonts w:ascii="Times New Roman" w:hAnsi="Times New Roman" w:cs="Times New Roman"/>
          <w:b/>
          <w:sz w:val="28"/>
          <w:szCs w:val="28"/>
        </w:rPr>
      </w:r>
      <w:r>
        <w:rPr>
          <w:rFonts w:ascii="Times New Roman" w:hAnsi="Times New Roman" w:cs="Times New Roman"/>
          <w:b/>
          <w:sz w:val="28"/>
          <w:szCs w:val="28"/>
        </w:rPr>
      </w:r>
    </w:p>
    <w:p>
      <w:pPr>
        <w:ind w:firstLine="709"/>
        <w:jc w:val="both"/>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ИНФОРМАЦИОННЫЙ ВЫПУСК</w:t>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color w:val="000000"/>
          <w:sz w:val="28"/>
          <w:szCs w:val="28"/>
        </w:rPr>
      </w:pPr>
      <w:r>
        <w:rPr>
          <w:rFonts w:ascii="Times New Roman" w:hAnsi="Times New Roman" w:cs="Times New Roman"/>
          <w:b/>
          <w:sz w:val="28"/>
          <w:szCs w:val="28"/>
        </w:rPr>
        <w:t xml:space="preserve">«Об </w:t>
      </w:r>
      <w:r>
        <w:rPr>
          <w:rFonts w:ascii="Times New Roman" w:hAnsi="Times New Roman" w:cs="Times New Roman"/>
          <w:b/>
          <w:color w:val="000000"/>
          <w:sz w:val="28"/>
          <w:szCs w:val="28"/>
        </w:rPr>
        <w:t xml:space="preserve">оказании услуг</w:t>
      </w:r>
      <w:r>
        <w:rPr>
          <w:rFonts w:ascii="Times New Roman" w:hAnsi="Times New Roman" w:cs="Times New Roman"/>
          <w:b/>
          <w:color w:val="000000"/>
          <w:sz w:val="28"/>
          <w:szCs w:val="28"/>
        </w:rPr>
      </w:r>
      <w:r>
        <w:rPr>
          <w:rFonts w:ascii="Times New Roman" w:hAnsi="Times New Roman" w:cs="Times New Roman"/>
          <w:b/>
          <w:color w:val="000000"/>
          <w:sz w:val="28"/>
          <w:szCs w:val="28"/>
        </w:rPr>
      </w:r>
    </w:p>
    <w:p>
      <w:pPr>
        <w:ind w:firstLine="709"/>
        <w:jc w:val="center"/>
        <w:spacing w:after="0" w:line="240" w:lineRule="auto"/>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в сфере государственного кадастрового учета, государственной регистрации прав и</w:t>
      </w:r>
      <w:r>
        <w:rPr>
          <w:rFonts w:ascii="Times New Roman" w:hAnsi="Times New Roman" w:cs="Times New Roman"/>
          <w:b/>
          <w:color w:val="000000"/>
          <w:sz w:val="28"/>
          <w:szCs w:val="28"/>
        </w:rPr>
      </w:r>
      <w:r>
        <w:rPr>
          <w:rFonts w:ascii="Times New Roman" w:hAnsi="Times New Roman" w:cs="Times New Roman"/>
          <w:b/>
          <w:color w:val="000000"/>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color w:val="000000"/>
          <w:sz w:val="28"/>
          <w:szCs w:val="28"/>
        </w:rPr>
        <w:t xml:space="preserve">предоставления сведений из ЕГРН</w:t>
      </w:r>
      <w:r>
        <w:rPr>
          <w:rFonts w:ascii="Times New Roman" w:hAnsi="Times New Roman" w:cs="Times New Roman"/>
          <w:b/>
          <w:sz w:val="28"/>
          <w:szCs w:val="28"/>
        </w:rPr>
        <w:t xml:space="preserve">»</w:t>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ОТДЕЛ ПРАВОВОГО ОБЕСПЕЧЕНИЯ</w:t>
      </w:r>
      <w:r>
        <w:rPr>
          <w:rFonts w:ascii="Times New Roman" w:hAnsi="Times New Roman" w:cs="Times New Roman"/>
          <w:b/>
          <w:sz w:val="28"/>
          <w:szCs w:val="28"/>
        </w:rPr>
      </w:r>
      <w:r>
        <w:rPr>
          <w:rFonts w:ascii="Times New Roman" w:hAnsi="Times New Roman" w:cs="Times New Roman"/>
          <w:b/>
          <w:sz w:val="28"/>
          <w:szCs w:val="28"/>
        </w:rPr>
      </w:r>
    </w:p>
    <w:p>
      <w:pPr>
        <w:ind w:firstLine="709"/>
        <w:jc w:val="center"/>
        <w:spacing w:after="0" w:line="240" w:lineRule="auto"/>
        <w:rPr>
          <w:rFonts w:ascii="Times New Roman" w:hAnsi="Times New Roman" w:cs="Times New Roman"/>
          <w:b/>
          <w:sz w:val="28"/>
          <w:szCs w:val="28"/>
        </w:rPr>
      </w:pPr>
      <w:r>
        <w:rPr>
          <w:rFonts w:ascii="Times New Roman" w:hAnsi="Times New Roman" w:cs="Times New Roman"/>
          <w:b/>
          <w:sz w:val="28"/>
          <w:szCs w:val="28"/>
        </w:rPr>
        <w:t xml:space="preserve">УПРАВЛЕНИЯ РОСРЕЕСТРА ПО НОВОСИБИРСКОЙ ОБЛАСТИ</w:t>
      </w:r>
      <w:r>
        <w:rPr>
          <w:rFonts w:ascii="Times New Roman" w:hAnsi="Times New Roman" w:cs="Times New Roman"/>
          <w:b/>
          <w:sz w:val="28"/>
          <w:szCs w:val="28"/>
        </w:rPr>
      </w:r>
      <w:r>
        <w:rPr>
          <w:rFonts w:ascii="Times New Roman" w:hAnsi="Times New Roman" w:cs="Times New Roman"/>
          <w:b/>
          <w:sz w:val="28"/>
          <w:szCs w:val="28"/>
        </w:rPr>
      </w:r>
    </w:p>
    <w:p>
      <w:pPr>
        <w:ind w:firstLine="709"/>
        <w:jc w:val="both"/>
        <w:spacing w:after="0" w:line="240" w:lineRule="auto"/>
        <w:rPr>
          <w:rFonts w:ascii="Times New Roman" w:hAnsi="Times New Roman" w:cs="Times New Roman"/>
          <w:b/>
          <w:sz w:val="28"/>
          <w:szCs w:val="28"/>
        </w:rPr>
      </w:pPr>
      <w:r>
        <w:rPr>
          <w:rFonts w:ascii="Times New Roman" w:hAnsi="Times New Roman" w:cs="Times New Roman"/>
          <w:b/>
          <w:sz w:val="28"/>
          <w:szCs w:val="28"/>
        </w:rPr>
        <w:br w:type="page" w:clear="all"/>
      </w:r>
      <w:r>
        <w:rPr>
          <w:rFonts w:ascii="Times New Roman" w:hAnsi="Times New Roman" w:cs="Times New Roman"/>
          <w:b/>
          <w:sz w:val="28"/>
          <w:szCs w:val="28"/>
        </w:rPr>
      </w:r>
      <w:r>
        <w:rPr>
          <w:rFonts w:ascii="Times New Roman" w:hAnsi="Times New Roman" w:cs="Times New Roman"/>
          <w:b/>
          <w:sz w:val="28"/>
          <w:szCs w:val="28"/>
        </w:rPr>
      </w:r>
    </w:p>
    <w:p>
      <w:pPr>
        <w:contextualSpacing/>
        <w:ind w:firstLine="708"/>
        <w:jc w:val="both"/>
        <w:rPr>
          <w:rFonts w:ascii="Times New Roman" w:hAnsi="Times New Roman" w:eastAsia="Calibri" w:cs="Times New Roman"/>
          <w:b/>
          <w:bCs/>
          <w:color w:val="000000"/>
          <w14:ligatures w14:val="none"/>
        </w:rPr>
        <w:sectPr>
          <w:headerReference w:type="default" r:id="rId9"/>
          <w:headerReference w:type="first" r:id="rId10"/>
          <w:footerReference w:type="first" r:id="rId11"/>
          <w:footnotePr/>
          <w:endnotePr/>
          <w:type w:val="nextPage"/>
          <w:pgSz w:w="11906" w:h="16838" w:orient="portrait"/>
          <w:pgMar w:top="1134" w:right="850" w:bottom="1134" w:left="1701" w:header="709" w:footer="709" w:gutter="0"/>
          <w:cols w:num="1" w:sep="0" w:space="708" w:equalWidth="1"/>
          <w:docGrid w:linePitch="360"/>
        </w:sectPr>
      </w:pPr>
      <w:r>
        <w:rPr>
          <w:rFonts w:ascii="Times New Roman" w:hAnsi="Times New Roman" w:eastAsia="Calibri" w:cs="Times New Roman"/>
          <w:b/>
          <w:bCs/>
          <w:color w:val="000000"/>
          <w:sz w:val="28"/>
          <w:szCs w:val="28"/>
          <w:highlight w:val="none"/>
          <w:shd w:val="clear" w:color="ffffff" w:themeColor="background1" w:fill="ffffff" w:themeFill="background1"/>
        </w:rPr>
      </w:r>
      <w:r>
        <w:rPr>
          <w:rFonts w:ascii="Times New Roman" w:hAnsi="Times New Roman" w:eastAsia="Calibri" w:cs="Times New Roman"/>
          <w:b/>
          <w:bCs/>
          <w:color w:val="000000"/>
          <w14:ligatures w14:val="none"/>
        </w:rPr>
      </w:r>
      <w:r>
        <w:rPr>
          <w:rFonts w:ascii="Times New Roman" w:hAnsi="Times New Roman" w:eastAsia="Calibri" w:cs="Times New Roman"/>
          <w:b/>
          <w:bCs/>
          <w:color w:val="000000"/>
          <w14:ligatures w14:val="none"/>
        </w:rPr>
      </w:r>
    </w:p>
    <w:p>
      <w:pPr>
        <w:pStyle w:val="1014"/>
        <w:ind w:firstLine="709"/>
        <w:jc w:val="center"/>
        <w:rPr>
          <w:rFonts w:ascii="Times New Roman" w:hAnsi="Times New Roman" w:cs="Times New Roman"/>
          <w:b/>
          <w:bCs/>
          <w:i/>
          <w:sz w:val="28"/>
          <w:szCs w:val="28"/>
          <w:highlight w:val="none"/>
        </w:rPr>
      </w:pPr>
      <w:r>
        <w:rPr>
          <w:rFonts w:ascii="Times New Roman" w:hAnsi="Times New Roman" w:cs="Times New Roman"/>
          <w:b/>
          <w:i/>
          <w:sz w:val="28"/>
          <w:szCs w:val="28"/>
        </w:rPr>
        <w:t xml:space="preserve">Новости</w:t>
      </w:r>
      <w:r>
        <w:rPr>
          <w:rFonts w:ascii="Times New Roman" w:hAnsi="Times New Roman" w:cs="Times New Roman"/>
          <w:b/>
          <w:i/>
          <w:sz w:val="28"/>
          <w:szCs w:val="28"/>
        </w:rPr>
        <w:t xml:space="preserve"> закон</w:t>
      </w:r>
      <w:r>
        <w:rPr>
          <w:rFonts w:ascii="Times New Roman" w:hAnsi="Times New Roman" w:cs="Times New Roman"/>
          <w:b/>
          <w:i/>
          <w:sz w:val="28"/>
          <w:szCs w:val="28"/>
        </w:rPr>
        <w:t xml:space="preserve">одательства</w:t>
      </w: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p>
    <w:p>
      <w:pPr>
        <w:pStyle w:val="1014"/>
        <w:ind w:firstLine="709"/>
        <w:jc w:val="center"/>
        <w:rPr>
          <w:rFonts w:ascii="Times New Roman" w:hAnsi="Times New Roman" w:cs="Times New Roman"/>
          <w:b/>
          <w:bCs/>
          <w:i/>
          <w:sz w:val="28"/>
          <w:szCs w:val="28"/>
          <w:highlight w:val="none"/>
        </w:rPr>
      </w:pP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p>
    <w:p>
      <w:pPr>
        <w:contextualSpacing/>
        <w:ind w:left="0" w:right="0" w:firstLine="709"/>
        <w:spacing w:after="180"/>
        <w:shd w:val="clear" w:color="ffffff" w:fill="ffffff"/>
        <w:rPr>
          <w:b/>
          <w:bCs/>
          <w:highlight w:val="none"/>
          <w14:ligatures w14:val="none"/>
        </w:rPr>
        <w:pBdr>
          <w:top w:val="none" w:color="000000" w:sz="4" w:space="0"/>
          <w:left w:val="none" w:color="000000" w:sz="4" w:space="0"/>
          <w:bottom w:val="none" w:color="000000" w:sz="4" w:space="0"/>
          <w:right w:val="none" w:color="000000" w:sz="4" w:space="0"/>
        </w:pBdr>
      </w:pPr>
      <w:r>
        <w:rPr>
          <w:b/>
          <w:bCs/>
          <w:highlight w:val="none"/>
        </w:rPr>
      </w:r>
      <w:r>
        <w:t xml:space="preserve">1. </w:t>
      </w:r>
      <w:r>
        <w:rPr>
          <w:b/>
          <w:bCs/>
          <w:highlight w:val="none"/>
        </w:rPr>
        <w:t xml:space="preserve">Федеральный закон от 07.06.2025 № 133-ФЗ «О внесении изменения в статью 36.2 Федерального закона «О государственной регистрации недвижимости».</w:t>
      </w:r>
      <w:r>
        <w:rPr>
          <w:b/>
          <w:bCs/>
          <w:highlight w:val="none"/>
          <w14:ligatures w14:val="none"/>
        </w:rPr>
      </w:r>
      <w:r>
        <w:rPr>
          <w:b/>
          <w:bCs/>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С 1 июля при совершении сделок с недвижимым имуществом можно применять единую биометрическую систему.</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Предусмотрена возможность государственной регистрации прав на недвижимое имущество и сделок с ним на основании заявления о государственной регистрации перехода, прекращения права собственности на объект недвижимости, принадлежащий физическому лицу, и прила</w:t>
      </w:r>
      <w:r>
        <w:rPr>
          <w:b w:val="0"/>
          <w:bCs w:val="0"/>
          <w:highlight w:val="none"/>
        </w:rPr>
        <w:t xml:space="preserve">гаемых к нему электронных документов или электронных образов документов, представленных сторонами договора об отчуждении объекта недвижимости, если соответствующее заявление и прилагаемые к нему электронные документы или электронные образы документов подпи</w:t>
      </w:r>
      <w:r>
        <w:rPr>
          <w:b w:val="0"/>
          <w:bCs w:val="0"/>
          <w:highlight w:val="none"/>
        </w:rPr>
        <w:t xml:space="preserve">саны УКЭП заявителей при условии идентификации сторон договора с использованием ЕБС.</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В указанном случае отсутствие в ЕГРН записи о возможности государственной регистрации прав на основании документов, подписанных УКЭП, не будет препятствовать государственной регистрации прав на объекты недвижимости и сделок с ним.</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14:ligatures w14:val="none"/>
        </w:rPr>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bCs/>
          <w:highlight w:val="none"/>
          <w14:ligatures w14:val="none"/>
        </w:rPr>
        <w:pBdr>
          <w:top w:val="none" w:color="000000" w:sz="4" w:space="0"/>
          <w:left w:val="none" w:color="000000" w:sz="4" w:space="0"/>
          <w:bottom w:val="none" w:color="000000" w:sz="4" w:space="0"/>
          <w:right w:val="none" w:color="000000" w:sz="4" w:space="0"/>
        </w:pBdr>
      </w:pPr>
      <w:r>
        <w:rPr>
          <w:b/>
          <w:bCs/>
          <w:highlight w:val="none"/>
        </w:rPr>
      </w:r>
      <w:r>
        <w:rPr>
          <w:b/>
          <w:bCs/>
          <w:highlight w:val="none"/>
        </w:rPr>
        <w:t xml:space="preserve">2. </w:t>
      </w:r>
      <w:r>
        <w:rPr>
          <w:b/>
          <w:bCs/>
          <w:highlight w:val="none"/>
        </w:rPr>
        <w:t xml:space="preserve">Федеральный закон от 15.12.2025 № 478-ФЗ «О внесении изменений в Федеральный закон «О государственной регистрации недвижимости».</w:t>
      </w:r>
      <w:r>
        <w:rPr>
          <w:b/>
          <w:bCs/>
          <w:highlight w:val="none"/>
          <w14:ligatures w14:val="none"/>
        </w:rPr>
      </w:r>
      <w:r>
        <w:rPr>
          <w:b/>
          <w:bCs/>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С 1 июля границы сельскохозяйственных угодий в составе земель сельскохозяйственного назначения считаются установленными или измененными со дня внесения соответствующих сведений в ЕГРН.</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Соответствующим образом уточняется содержание ЕГРН.</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Сведения о том, что земельный участок полностью или частично расположен в границах сельскохозяйственных угодий в составе земель сельскохозяйственного назначения, включая ограничения по использованию земельного участка, установленные для таких угодий, внося</w:t>
      </w:r>
      <w:r>
        <w:rPr>
          <w:b w:val="0"/>
          <w:bCs w:val="0"/>
          <w:highlight w:val="none"/>
        </w:rPr>
        <w:t xml:space="preserve">тся в кадастр недвижимости.</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Также устанавливается, что данные о сельскохозяйственных угодьях в составе земель сельскохозяйственного назначения включаются в реестр границ.</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В случае если границы земельного участка пересекают границы сельскохозяйственных угодий в составе земель сельскохозяйственного назначения, сведения о которых содержатся в ЕГРН (за исключением некоторых случаев), государственный кадастровый учет (государств</w:t>
      </w:r>
      <w:r>
        <w:rPr>
          <w:b w:val="0"/>
          <w:bCs w:val="0"/>
          <w:highlight w:val="none"/>
        </w:rPr>
        <w:t xml:space="preserve">енная регистрация прав) приостанавливается.</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Минсельхоз России будет обязан направлять в Росреестр документы для внесения сведений в ЕГРН в случае принятия им решений об установлении или изменении границ сельскохозяйственных угодий в составе земель сельскохозяйственного назначения. Урегулирован поряд</w:t>
      </w:r>
      <w:r>
        <w:rPr>
          <w:b w:val="0"/>
          <w:bCs w:val="0"/>
          <w:highlight w:val="none"/>
        </w:rPr>
        <w:t xml:space="preserve">ок действий Росреестра в отдельных случаях в рамках межведомственного взаимодействия.</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Вводятся особенности государственного кадастрового учета в связи с уточнением границ земельных участков, границы которых пересекают границы сельскохозяйственных угодий в составе земель сельскохозяйственного назначения.</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Предусмотрено переходное </w:t>
      </w:r>
      <w:hyperlink r:id="rId14" w:tooltip="https://newsletters.consultant.ru/link/eyJlbWFpbF9pZCI6IjI0NzY2MCIsImNuIjoiMzQ4MDpCTEQ6anVyaXN0IiwibGV0dGVyX2lkIjoiMzQ4MCIsInVybCI6Imh0dHBzOlwvXC9sb2dpbi5jb25zdWx0YW50LnJ1XC9saW5rXC8_cmVxPWRvYyZiYXNlPUxBVyZuPTUyMTUzOCZkc3Q9MTAwMDQ3JnNlbmQ9MSIsInNjb3BlIjoiQkxEIn0.1/" w:history="1">
        <w:r>
          <w:rPr>
            <w:b w:val="0"/>
            <w:bCs w:val="0"/>
            <w:highlight w:val="none"/>
          </w:rPr>
          <w:t xml:space="preserve">положение</w:t>
        </w:r>
      </w:hyperlink>
      <w:r>
        <w:rPr>
          <w:b w:val="0"/>
          <w:bCs w:val="0"/>
          <w:highlight w:val="none"/>
        </w:rPr>
        <w:t xml:space="preserve">: до внесения в ЕГРН сведений о границах сельскохозяйственных угодий в составе земель сельскохозяйственного назначения для правоотношений, связанных с сельскохозяйственными угодьями, применяются сведения о границах таких угодий, которые содержатся в ЕФГИС </w:t>
      </w:r>
      <w:r>
        <w:rPr>
          <w:b w:val="0"/>
          <w:bCs w:val="0"/>
          <w:highlight w:val="none"/>
        </w:rPr>
        <w:t xml:space="preserve">ЗСН.</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bCs/>
          <w:highlight w:val="none"/>
        </w:rPr>
      </w:r>
      <w:r>
        <w:rPr>
          <w:b/>
          <w:bCs/>
          <w:highlight w:val="none"/>
        </w:rPr>
        <w:t xml:space="preserve">3. </w:t>
      </w:r>
      <w:r>
        <w:rPr>
          <w:b/>
          <w:bCs/>
          <w:highlight w:val="none"/>
        </w:rPr>
      </w:r>
      <w:hyperlink r:id="rId15" w:tooltip="https://www.consultant.ru/document/cons_doc_LAW_535057/" w:history="1">
        <w:r>
          <w:rPr>
            <w:b/>
            <w:bCs/>
            <w:highlight w:val="none"/>
          </w:rPr>
          <w:t xml:space="preserve">Приказ Росреестра от 11.03.2026 № П/0118/26 «О внесении изменений в некоторые приказы Федеральной службы государственной регистрации, кадастра и картографии в сфере государственного кадастрового учета, государственной регистрации прав на недвижимое имущест</w:t>
        </w:r>
        <w:r>
          <w:rPr>
            <w:b/>
            <w:bCs/>
            <w:highlight w:val="none"/>
          </w:rPr>
          <w:t xml:space="preserve">во, ведения Единого государственного реестра недвижимости». </w:t>
        </w:r>
      </w:hyperlink>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Актуализированы приказы Росреестра в сфере государственного кадастрового учета, государственной регистрации прав на недвижимое имущество, ведения ЕГРН</w:t>
      </w:r>
      <w:r>
        <w:rPr>
          <w:b w:val="0"/>
          <w:bCs w:val="0"/>
          <w:highlight w:val="none"/>
        </w:rPr>
        <w:t xml:space="preserve">.</w:t>
      </w:r>
      <w:r>
        <w:rPr>
          <w:b w:val="0"/>
          <w:bCs w:val="0"/>
          <w:highlight w:val="none"/>
          <w14:ligatures w14:val="none"/>
        </w:rPr>
      </w:r>
      <w:r>
        <w:rPr>
          <w:b w:val="0"/>
          <w:bCs w:val="0"/>
          <w:highlight w:val="none"/>
          <w14:ligatures w14:val="none"/>
        </w:rPr>
      </w:r>
    </w:p>
    <w:p>
      <w:pPr>
        <w:contextualSpacing/>
        <w:ind w:left="0" w:right="0" w:firstLine="709"/>
        <w:spacing w:after="51" w:afterAutospacing="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В целях приведения нормативной правовой базы Росреестра в соответствие с законодательством внесены изменения в:</w:t>
      </w:r>
      <w:r>
        <w:rPr>
          <w:b w:val="0"/>
          <w:bCs w:val="0"/>
          <w:highlight w:val="none"/>
          <w14:ligatures w14:val="none"/>
        </w:rPr>
      </w:r>
      <w:r>
        <w:rPr>
          <w:b w:val="0"/>
          <w:bCs w:val="0"/>
          <w:highlight w:val="none"/>
          <w14:ligatures w14:val="none"/>
        </w:rPr>
      </w:r>
    </w:p>
    <w:p>
      <w:pPr>
        <w:pStyle w:val="1027"/>
        <w:numPr>
          <w:ilvl w:val="0"/>
          <w:numId w:val="60"/>
        </w:numPr>
        <w:contextualSpacing/>
        <w:ind w:left="0" w:right="0" w:firstLine="709"/>
        <w:spacing w:after="51" w:afterAutospacing="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Приказ Росреестра от 26.11.2021 № П/0546 «Об утверждении порядка и способов направления уведомлений о приостановлении государственного кадастрового учета недвижимого имущества и (или) государственной регистрации прав на недвижимое имущество и сделок с ним,</w:t>
      </w:r>
      <w:r>
        <w:rPr>
          <w:b w:val="0"/>
          <w:bCs w:val="0"/>
          <w:highlight w:val="none"/>
        </w:rPr>
        <w:t xml:space="preserve"> уведомлений об отказе в государственном кадастровом учете недвижимого имущества и (или) государственной регистрации прав на недвижимое имущество и сделок с ним, а также форм таких уведомлений и требований к формату таких уведомлений в электронной форме»;</w:t>
      </w:r>
      <w:r>
        <w:rPr>
          <w:b w:val="0"/>
          <w:bCs w:val="0"/>
          <w:highlight w:val="none"/>
          <w14:ligatures w14:val="none"/>
        </w:rPr>
      </w:r>
      <w:r>
        <w:rPr>
          <w:b w:val="0"/>
          <w:bCs w:val="0"/>
          <w:highlight w:val="none"/>
          <w14:ligatures w14:val="none"/>
        </w:rPr>
      </w:r>
    </w:p>
    <w:p>
      <w:pPr>
        <w:pStyle w:val="1027"/>
        <w:numPr>
          <w:ilvl w:val="0"/>
          <w:numId w:val="60"/>
        </w:numPr>
        <w:contextualSpacing/>
        <w:ind w:left="0" w:right="0" w:firstLine="709"/>
        <w:spacing w:after="40" w:afterAutospacing="0" w:line="240" w:lineRule="auto"/>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порядок направления Федеральной службой государственной регистрации, кадастра и картографии уведомления о возврате прилагаемых к заявлению о государственном кадастровом учете недвижимого имущества и (или) государственной регистрации прав на недвижимое имущ</w:t>
      </w:r>
      <w:r>
        <w:rPr>
          <w:b w:val="0"/>
          <w:bCs w:val="0"/>
          <w:highlight w:val="none"/>
        </w:rPr>
        <w:t xml:space="preserve">ество документов без рассмотрения, порядок и способы направления Федеральной службой государственной регистрации, кадастра и картографии уведомления о прекращении осуществления государственного кадастрового учета недвижимого имущества и (или) государственн</w:t>
      </w:r>
      <w:r>
        <w:rPr>
          <w:b w:val="0"/>
          <w:bCs w:val="0"/>
          <w:highlight w:val="none"/>
        </w:rPr>
        <w:t xml:space="preserve">ой регистрации прав на недвижимое имущество и представленных для осуществления государственного кадастрового учета недвижимого имущества и (или) государственной регистрации прав на недвижимое имущество документов, утвержденный Приказом Росреестра от 26.11.</w:t>
      </w:r>
      <w:r>
        <w:rPr>
          <w:b w:val="0"/>
          <w:bCs w:val="0"/>
          <w:highlight w:val="none"/>
        </w:rPr>
        <w:t xml:space="preserve">2021 № П/0548.</w:t>
      </w:r>
      <w:r>
        <w:rPr>
          <w:b w:val="0"/>
          <w:bCs w:val="0"/>
          <w:highlight w:val="none"/>
          <w14:ligatures w14:val="none"/>
        </w:rPr>
      </w:r>
      <w:r>
        <w:rPr>
          <w:b w:val="0"/>
          <w:bCs w:val="0"/>
          <w:highlight w:val="none"/>
          <w14:ligatures w14:val="none"/>
        </w:rPr>
      </w:r>
    </w:p>
    <w:p>
      <w:pPr>
        <w:contextualSpacing/>
        <w:ind w:left="709" w:right="0" w:firstLine="0"/>
        <w:spacing w:after="40" w:afterAutospacing="0" w:line="240" w:lineRule="auto"/>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r>
      <w:r>
        <w:rPr>
          <w:b w:val="0"/>
          <w:bCs w:val="0"/>
          <w:highlight w:val="none"/>
          <w14:ligatures w14:val="none"/>
        </w:rPr>
      </w:r>
      <w:r>
        <w:rPr>
          <w:b w:val="0"/>
          <w:bCs w:val="0"/>
          <w:highlight w:val="none"/>
          <w14:ligatures w14:val="none"/>
        </w:rPr>
      </w:r>
    </w:p>
    <w:p>
      <w:pPr>
        <w:contextualSpacing/>
        <w:ind w:left="0" w:right="0" w:firstLine="708"/>
        <w:spacing w:after="40" w:afterAutospacing="0" w:line="240" w:lineRule="auto"/>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bCs/>
          <w:highlight w:val="none"/>
        </w:rPr>
      </w:r>
      <w:r>
        <w:rPr>
          <w:b/>
          <w:bCs/>
          <w:highlight w:val="none"/>
        </w:rPr>
        <w:t xml:space="preserve">4. </w:t>
      </w:r>
      <w:r>
        <w:rPr>
          <w:b/>
          <w:bCs/>
          <w:highlight w:val="none"/>
        </w:rPr>
        <w:t xml:space="preserve">Приказ Росреестра от 10.03.2026 № П/0113/26 «Об утверждении формы проверочного листа (списка контрольных вопросов, ответы на которые свидетельствуют о соблюдении или несоблюдении контролируемым лицом обязательных требований), применяемого должностными лица</w:t>
      </w:r>
      <w:r>
        <w:rPr>
          <w:b/>
          <w:bCs/>
          <w:highlight w:val="none"/>
        </w:rPr>
        <w:t xml:space="preserve">ми Федеральной службы государственной регистрации, кадастра и картографии (ее территориальными органами) при осуществлении федерального государственного надзора за деятельностью саморегулируемых организаций кадастровых инженеров».</w:t>
      </w:r>
      <w:r>
        <w:rPr>
          <w:b/>
          <w:bCs/>
          <w:highlight w:val="none"/>
        </w:rPr>
        <w:t xml:space="preserve"> </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Установлена форма чек-листа для федерального государственного надзора за деятельностью СРО кадастровых инженеров.</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Настоящий приказ действует до 31 декабря 2028 года включительно.</w:t>
      </w:r>
      <w:r>
        <w:rPr>
          <w:b w:val="0"/>
          <w:bCs w:val="0"/>
          <w:highlight w:val="none"/>
          <w14:ligatures w14:val="none"/>
        </w:rPr>
      </w:r>
      <w:r>
        <w:rPr>
          <w:b w:val="0"/>
          <w:bCs w:val="0"/>
          <w:highlight w:val="none"/>
          <w14:ligatures w14:val="none"/>
        </w:rPr>
      </w:r>
    </w:p>
    <w:p>
      <w:pPr>
        <w:jc w:val="both"/>
        <w:rPr>
          <w:b w:val="0"/>
          <w:bCs w:val="0"/>
          <w:highlight w:val="none"/>
        </w:rPr>
      </w:pPr>
      <w:r>
        <w:rPr>
          <w:b w:val="0"/>
          <w:bCs w:val="0"/>
          <w:highlight w:val="none"/>
        </w:rPr>
      </w:r>
      <w:r>
        <w:rPr>
          <w:b w:val="0"/>
          <w:bCs w:val="0"/>
          <w:highlight w:val="none"/>
        </w:rPr>
      </w:r>
      <w:r>
        <w:rPr>
          <w:b w:val="0"/>
          <w:bCs w:val="0"/>
          <w:highlight w:val="none"/>
        </w:rPr>
      </w:r>
    </w:p>
    <w:p>
      <w:pPr>
        <w:contextualSpacing/>
        <w:ind w:left="0" w:right="0" w:firstLine="709"/>
        <w:spacing w:after="180"/>
        <w:shd w:val="clear" w:color="ffffff" w:fill="ffffff"/>
        <w:rPr>
          <w:b/>
          <w:bCs/>
          <w:highlight w:val="none"/>
          <w14:ligatures w14:val="none"/>
        </w:rPr>
        <w:pBdr>
          <w:top w:val="none" w:color="000000" w:sz="4" w:space="0"/>
          <w:left w:val="none" w:color="000000" w:sz="4" w:space="0"/>
          <w:bottom w:val="none" w:color="000000" w:sz="4" w:space="0"/>
          <w:right w:val="none" w:color="000000" w:sz="4" w:space="0"/>
        </w:pBdr>
      </w:pPr>
      <w:r>
        <w:rPr>
          <w:b/>
          <w:bCs/>
          <w:highlight w:val="none"/>
        </w:rPr>
        <w:t xml:space="preserve">5. </w:t>
      </w:r>
      <w:hyperlink r:id="rId16" w:tooltip="https://www.consultant.ru/document/cons_doc_LAW_517301/" w:history="1">
        <w:r>
          <w:rPr>
            <w:b/>
            <w:bCs/>
            <w:highlight w:val="none"/>
          </w:rPr>
          <w:t xml:space="preserve">Приказ Росреестра от 24.07.2025 № П/0251/25 «О внесении изменений в некоторые приказы Федеральной службы государственной регистрации, кадастра и картографии в сфере предоставления сведений из Единого государственного реестра недвижимости».</w:t>
        </w:r>
      </w:hyperlink>
      <w:r>
        <w:rPr>
          <w:b/>
          <w:bCs/>
          <w:highlight w:val="none"/>
          <w14:ligatures w14:val="none"/>
        </w:rPr>
      </w:r>
      <w:r>
        <w:rPr>
          <w:b/>
          <w:bCs/>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С 1 июля внесены изменения в форму выписки из ЕГРН об объекте недвижимости</w:t>
      </w:r>
      <w:r>
        <w:rPr>
          <w:b w:val="0"/>
          <w:bCs w:val="0"/>
          <w:highlight w:val="none"/>
        </w:rPr>
        <w:t xml:space="preserve">.</w:t>
      </w:r>
      <w:r>
        <w:rPr>
          <w:b w:val="0"/>
          <w:bCs w:val="0"/>
          <w:highlight w:val="none"/>
          <w14:ligatures w14:val="none"/>
        </w:rPr>
      </w:r>
      <w:r>
        <w:rPr>
          <w:b w:val="0"/>
          <w:bCs w:val="0"/>
          <w:highlight w:val="none"/>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t xml:space="preserve">В частности, уточняется, что в реквизите "Сведения о том, что земельный участок полностью или частично расположен в границах зоны с особыми условиями использования территории или территории объекта культурного наследия (памятника истории и культуры) народо</w:t>
      </w:r>
      <w:r>
        <w:rPr>
          <w:b w:val="0"/>
          <w:bCs w:val="0"/>
          <w:highlight w:val="none"/>
        </w:rPr>
        <w:t xml:space="preserve">в Российской Федерации, границах публичного сервитута" указываются сведения о том, что земельный участок полностью или частично расположен в границах зоны с особыми условиями использования территории (в том числе при наличии в границах зоны с особыми услов</w:t>
      </w:r>
      <w:r>
        <w:rPr>
          <w:b w:val="0"/>
          <w:bCs w:val="0"/>
          <w:highlight w:val="none"/>
        </w:rPr>
        <w:t xml:space="preserve">иями использования территории, в отношении которой устанавливаются различные ограничения использования земельных участков для достижения различных целей установления такой зоны (далее также - подзона) - сведения о том, что земельный участок полностью или ч</w:t>
      </w:r>
      <w:r>
        <w:rPr>
          <w:b w:val="0"/>
          <w:bCs w:val="0"/>
          <w:highlight w:val="none"/>
        </w:rPr>
        <w:t xml:space="preserve">астично расположен в границах подзоны) или территории объекта культурного наследия (памятника истории и культуры) народов РФ, границах публичного сервитута, в объеме сведений, содержащихся в записи кадастра недвижимости ЕГРН.</w:t>
      </w:r>
      <w:r>
        <w:rPr>
          <w:b w:val="0"/>
          <w:bCs w:val="0"/>
          <w:highlight w:val="none"/>
          <w14:ligatures w14:val="none"/>
        </w:rPr>
      </w:r>
      <w:r>
        <w:rPr>
          <w:b w:val="0"/>
          <w:bCs w:val="0"/>
          <w:highlight w:val="none"/>
          <w14:ligatures w14:val="none"/>
        </w:rPr>
      </w:r>
    </w:p>
    <w:p>
      <w:pPr>
        <w:contextualSpacing/>
        <w:ind w:left="709" w:right="0" w:firstLine="0"/>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14:ligatures w14:val="none"/>
        </w:rPr>
      </w:r>
      <w:r>
        <w:rPr>
          <w:b w:val="0"/>
          <w:bCs w:val="0"/>
          <w:highlight w:val="none"/>
          <w14:ligatures w14:val="none"/>
        </w:rPr>
      </w:r>
      <w:r>
        <w:rPr>
          <w:b w:val="0"/>
          <w:bCs w:val="0"/>
          <w:highlight w:val="none"/>
          <w14:ligatures w14:val="none"/>
        </w:rPr>
      </w:r>
    </w:p>
    <w:p>
      <w:pPr>
        <w:jc w:val="both"/>
        <w:rPr>
          <w:b w:val="0"/>
          <w:bCs w:val="0"/>
          <w14:ligatures w14:val="none"/>
        </w:rPr>
        <w:sectPr>
          <w:footnotePr/>
          <w:endnotePr/>
          <w:type w:val="nextPage"/>
          <w:pgSz w:w="11906" w:h="16838" w:orient="portrait"/>
          <w:pgMar w:top="1134" w:right="850" w:bottom="1134" w:left="1701" w:header="709" w:footer="709" w:gutter="0"/>
          <w:cols w:num="1" w:sep="0" w:space="708" w:equalWidth="1"/>
          <w:docGrid w:linePitch="360"/>
        </w:sectPr>
      </w:pPr>
      <w:r>
        <w:rPr>
          <w:b w:val="0"/>
          <w:bCs w:val="0"/>
        </w:rPr>
      </w:r>
      <w:r>
        <w:rPr>
          <w:b w:val="0"/>
          <w:bCs w:val="0"/>
          <w14:ligatures w14:val="none"/>
        </w:rPr>
      </w:r>
      <w:r>
        <w:rPr>
          <w:b w:val="0"/>
          <w:bCs w:val="0"/>
          <w14:ligatures w14:val="none"/>
        </w:rPr>
      </w:r>
    </w:p>
    <w:p>
      <w:pPr>
        <w:pStyle w:val="1014"/>
        <w:ind w:left="1069" w:firstLine="0"/>
        <w:jc w:val="center"/>
        <w:rPr>
          <w:rFonts w:ascii="Times New Roman" w:hAnsi="Times New Roman" w:cs="Times New Roman"/>
          <w:b/>
          <w:bCs/>
          <w:i/>
          <w:sz w:val="28"/>
          <w:szCs w:val="28"/>
          <w:highlight w:val="none"/>
        </w:rPr>
      </w:pPr>
      <w:r>
        <w:rPr>
          <w:rFonts w:ascii="Times New Roman" w:hAnsi="Times New Roman" w:cs="Times New Roman"/>
          <w:b/>
          <w:i/>
          <w:sz w:val="28"/>
          <w:szCs w:val="28"/>
        </w:rPr>
        <w:t xml:space="preserve">И</w:t>
      </w:r>
      <w:r>
        <w:rPr>
          <w:rFonts w:ascii="Times New Roman" w:hAnsi="Times New Roman" w:cs="Times New Roman"/>
          <w:b/>
          <w:i/>
          <w:sz w:val="28"/>
          <w:szCs w:val="28"/>
        </w:rPr>
        <w:t xml:space="preserve">нформационные письма и разъяснения </w:t>
      </w:r>
      <w:r>
        <w:rPr>
          <w:rFonts w:ascii="Times New Roman" w:hAnsi="Times New Roman" w:cs="Times New Roman"/>
          <w:b/>
          <w:i/>
          <w:sz w:val="28"/>
          <w:szCs w:val="28"/>
        </w:rPr>
        <w:t xml:space="preserve">в сфере государственного кадастрового учета и (или) государственной регистрации пр</w:t>
      </w:r>
      <w:r>
        <w:rPr>
          <w:rFonts w:ascii="Times New Roman" w:hAnsi="Times New Roman" w:cs="Times New Roman"/>
          <w:b/>
          <w:i/>
          <w:sz w:val="28"/>
          <w:szCs w:val="28"/>
        </w:rPr>
        <w:t xml:space="preserve">ав, материалы судебной практики</w:t>
      </w: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p>
    <w:p>
      <w:pPr>
        <w:pStyle w:val="1014"/>
        <w:ind w:left="1069" w:firstLine="0"/>
        <w:jc w:val="center"/>
        <w:rPr>
          <w:rFonts w:ascii="Times New Roman" w:hAnsi="Times New Roman" w:cs="Times New Roman"/>
          <w:b/>
          <w:bCs/>
          <w:i/>
          <w:sz w:val="28"/>
          <w:szCs w:val="28"/>
          <w:highlight w:val="none"/>
        </w:rPr>
      </w:pP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p>
    <w:p>
      <w:pPr>
        <w:ind w:left="0" w:right="0" w:firstLine="708"/>
        <w:jc w:val="both"/>
        <w:spacing w:before="0" w:after="0" w:line="288" w:lineRule="atLeast"/>
        <w:rPr>
          <w:b/>
          <w:bCs/>
          <w:i w:val="0"/>
          <w:iCs w:val="0"/>
          <w:sz w:val="28"/>
          <w:szCs w:val="28"/>
          <w:highlight w:val="none"/>
          <w:lang w:eastAsia="ru-RU"/>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1.</w:t>
      </w:r>
      <w:r>
        <w:rPr>
          <w:b/>
          <w:bCs/>
          <w:i w:val="0"/>
          <w:iCs w:val="0"/>
          <w:sz w:val="28"/>
          <w:szCs w:val="28"/>
          <w:lang w:eastAsia="ru-RU"/>
        </w:rPr>
        <w:t xml:space="preserve"> </w:t>
      </w:r>
      <w:r>
        <w:rPr>
          <w:b/>
          <w:bCs/>
          <w:i w:val="0"/>
          <w:iCs w:val="0"/>
          <w:sz w:val="28"/>
          <w:szCs w:val="28"/>
          <w:lang w:eastAsia="ru-RU"/>
        </w:rPr>
        <w:t xml:space="preserve">Письмо Росреес</w:t>
      </w:r>
      <w:r>
        <w:rPr>
          <w:b/>
          <w:bCs/>
          <w:i w:val="0"/>
          <w:iCs w:val="0"/>
          <w:sz w:val="28"/>
          <w:szCs w:val="28"/>
          <w:lang w:eastAsia="ru-RU"/>
        </w:rPr>
        <w:t xml:space="preserve">тра от </w:t>
      </w:r>
      <w:r>
        <w:rPr>
          <w:b/>
          <w:bCs/>
          <w:i w:val="0"/>
          <w:iCs w:val="0"/>
          <w:sz w:val="28"/>
          <w:szCs w:val="28"/>
          <w:lang w:eastAsia="ru-RU"/>
        </w:rPr>
        <w:t xml:space="preserve">01.06.2026</w:t>
      </w:r>
      <w:r>
        <w:rPr>
          <w:b/>
          <w:bCs/>
          <w:i w:val="0"/>
          <w:iCs w:val="0"/>
          <w:sz w:val="28"/>
          <w:szCs w:val="28"/>
          <w:lang w:eastAsia="ru-RU"/>
        </w:rPr>
        <w:t xml:space="preserve"> № </w:t>
      </w:r>
      <w:r>
        <w:rPr>
          <w:b/>
          <w:bCs/>
          <w:i w:val="0"/>
          <w:iCs w:val="0"/>
          <w:sz w:val="28"/>
          <w:szCs w:val="28"/>
          <w:lang w:eastAsia="ru-RU"/>
        </w:rPr>
        <w:t xml:space="preserve">14-5849-ЛЛ/26</w:t>
      </w:r>
      <w:r>
        <w:rPr>
          <w:b/>
          <w:bCs/>
          <w:i w:val="0"/>
          <w:iCs w:val="0"/>
          <w:sz w:val="28"/>
          <w:szCs w:val="28"/>
          <w:lang w:eastAsia="ru-RU"/>
        </w:rPr>
        <w:t xml:space="preserve"> </w:t>
      </w:r>
      <w:r>
        <w:rPr>
          <w:b/>
          <w:bCs/>
          <w:i w:val="0"/>
          <w:iCs w:val="0"/>
          <w:sz w:val="28"/>
          <w:szCs w:val="28"/>
          <w:lang w:eastAsia="ru-RU"/>
        </w:rPr>
        <w:t xml:space="preserve">по вопросу образования в результате раздела помещений, расположенных в нежилом здании, сооружении, и документов, на основании которых может быть подготовлен технический план образуемых помещений</w:t>
      </w:r>
      <w:r>
        <w:rPr>
          <w:b/>
          <w:bCs/>
          <w:i w:val="0"/>
          <w:iCs w:val="0"/>
          <w:sz w:val="28"/>
          <w:szCs w:val="28"/>
          <w:lang w:eastAsia="ru-RU"/>
        </w:rPr>
        <w:t xml:space="preserve">.</w:t>
      </w:r>
      <w:r>
        <w:rPr>
          <w:b/>
          <w:bCs/>
          <w:i w:val="0"/>
          <w:iCs w:val="0"/>
          <w:sz w:val="28"/>
          <w:szCs w:val="28"/>
          <w:highlight w:val="none"/>
          <w:lang w:eastAsia="ru-RU"/>
          <w14:ligatures w14:val="none"/>
        </w:rPr>
      </w:r>
      <w:r>
        <w:rPr>
          <w:b/>
          <w:bCs/>
          <w:i w:val="0"/>
          <w:iCs w:val="0"/>
          <w:sz w:val="28"/>
          <w:szCs w:val="28"/>
          <w:highlight w:val="none"/>
          <w:lang w:eastAsia="ru-RU"/>
          <w14:ligatures w14:val="none"/>
        </w:rPr>
      </w:r>
    </w:p>
    <w:p>
      <w:pPr>
        <w:ind w:left="0" w:right="0" w:firstLine="708"/>
        <w:jc w:val="both"/>
        <w:spacing w:before="0" w:after="0" w:line="288" w:lineRule="atLeast"/>
        <w:rPr>
          <w:b/>
          <w:bCs w:val="0"/>
          <w:i w:val="0"/>
          <w:sz w:val="28"/>
          <w:szCs w:val="28"/>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lang w:eastAsia="ru-RU"/>
          <w14:ligatures w14:val="none"/>
        </w:rPr>
      </w:r>
      <w:r>
        <mc:AlternateContent>
          <mc:Choice Requires="wpg">
            <w:drawing>
              <wp:inline xmlns:wp="http://schemas.openxmlformats.org/drawingml/2006/wordprocessingDrawing" distT="0" distB="0" distL="0" distR="0">
                <wp:extent cx="5105625" cy="7221990"/>
                <wp:effectExtent l="0" t="0" r="0" b="0"/>
                <wp:docPr id="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126783" name=""/>
                        <pic:cNvPicPr>
                          <a:picLocks noChangeAspect="1"/>
                        </pic:cNvPicPr>
                        <pic:nvPr/>
                      </pic:nvPicPr>
                      <pic:blipFill>
                        <a:blip r:embed="rId17"/>
                        <a:stretch/>
                      </pic:blipFill>
                      <pic:spPr bwMode="auto">
                        <a:xfrm flipH="0" flipV="0">
                          <a:off x="0" y="0"/>
                          <a:ext cx="5105625" cy="7221989"/>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02.02pt;height:568.66pt;mso-wrap-distance-left:0.00pt;mso-wrap-distance-top:0.00pt;mso-wrap-distance-right:0.00pt;mso-wrap-distance-bottom:0.00pt;" stroked="false">
                <v:path textboxrect="0,0,0,0"/>
                <v:imagedata r:id="rId17" o:title=""/>
              </v:shape>
            </w:pict>
          </mc:Fallback>
        </mc:AlternateContent>
      </w:r>
      <w:r>
        <w:rPr>
          <w:b/>
          <w:bCs w:val="0"/>
          <w:i w:val="0"/>
          <w:sz w:val="28"/>
          <w:szCs w:val="28"/>
          <w:lang w:eastAsia="ru-RU"/>
          <w14:ligatures w14:val="none"/>
        </w:rPr>
      </w:r>
      <w:r>
        <w:rPr>
          <w:b/>
          <w:bCs w:val="0"/>
          <w:i w:val="0"/>
          <w:sz w:val="28"/>
          <w:szCs w:val="28"/>
          <w:lang w:eastAsia="ru-RU"/>
          <w14:ligatures w14:val="none"/>
        </w:rPr>
      </w:r>
    </w:p>
    <w:p>
      <w:pPr>
        <w:ind w:left="0" w:right="0" w:firstLine="708"/>
        <w:jc w:val="both"/>
        <w:spacing w:before="0" w:after="0" w:line="288" w:lineRule="atLeast"/>
        <w:rPr>
          <w:b/>
          <w:bCs w:val="0"/>
          <w:i w:val="0"/>
          <w:sz w:val="28"/>
          <w:szCs w:val="28"/>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lang w:eastAsia="ru-RU"/>
          <w14:ligatures w14:val="none"/>
        </w:rPr>
      </w:r>
      <w:r>
        <w:rPr>
          <w:b/>
          <w:bCs w:val="0"/>
          <w:i w:val="0"/>
          <w:sz w:val="28"/>
          <w:szCs w:val="28"/>
          <w:lang w:eastAsia="ru-RU"/>
          <w14:ligatures w14:val="none"/>
        </w:rPr>
      </w:r>
      <w:r>
        <w:rPr>
          <w:b/>
          <w:bCs w:val="0"/>
          <w:i w:val="0"/>
          <w:sz w:val="28"/>
          <w:szCs w:val="28"/>
          <w:lang w:eastAsia="ru-RU"/>
          <w14:ligatures w14:val="none"/>
        </w:rPr>
      </w:r>
    </w:p>
    <w:p>
      <w:pPr>
        <w:ind w:left="0" w:right="0" w:firstLine="708"/>
        <w:jc w:val="both"/>
        <w:spacing w:before="0" w:after="0" w:line="288" w:lineRule="atLeast"/>
        <w:rPr>
          <w:b/>
          <w:bCs w:val="0"/>
          <w:i w:val="0"/>
          <w:sz w:val="28"/>
          <w:szCs w:val="28"/>
          <w:lang w:eastAsia="ru-RU"/>
          <w14:ligatures w14:val="none"/>
        </w:rPr>
        <w:pBdr>
          <w:top w:val="none" w:color="000000" w:sz="4" w:space="0"/>
          <w:left w:val="none" w:color="000000" w:sz="4" w:space="0"/>
          <w:bottom w:val="none" w:color="000000" w:sz="4" w:space="0"/>
          <w:right w:val="none" w:color="000000" w:sz="4" w:space="0"/>
        </w:pBdr>
      </w:pPr>
      <w:r>
        <w:rPr>
          <w:highlight w:val="none"/>
        </w:rPr>
      </w:r>
      <w:r>
        <w:rPr>
          <w:b/>
          <w:bCs w:val="0"/>
          <w:i w:val="0"/>
          <w:sz w:val="28"/>
          <w:szCs w:val="28"/>
          <w:lang w:eastAsia="ru-RU"/>
          <w14:ligatures w14:val="none"/>
        </w:rPr>
      </w:r>
      <w:r>
        <w:rPr>
          <w:b/>
          <w:bCs w:val="0"/>
          <w:i w:val="0"/>
          <w:sz w:val="28"/>
          <w:szCs w:val="28"/>
          <w:lang w:eastAsia="ru-RU"/>
          <w14:ligatures w14:val="none"/>
        </w:rPr>
      </w:r>
    </w:p>
    <w:p>
      <w:pPr>
        <w:ind w:left="0" w:right="0" w:firstLine="708"/>
        <w:jc w:val="both"/>
        <w:spacing w:before="0" w:after="0" w:line="288" w:lineRule="atLeast"/>
        <w:rPr>
          <w:highlight w:val="none"/>
          <w14:ligatures w14:val="none"/>
        </w:rPr>
        <w:pBdr>
          <w:top w:val="none" w:color="000000" w:sz="4" w:space="0"/>
          <w:left w:val="none" w:color="000000" w:sz="4" w:space="0"/>
          <w:bottom w:val="none" w:color="000000" w:sz="4" w:space="0"/>
          <w:right w:val="none" w:color="000000" w:sz="4" w:space="0"/>
        </w:pBdr>
      </w:pPr>
      <w:r>
        <w:rPr>
          <w:highlight w:val="none"/>
        </w:rPr>
      </w:r>
      <w:r>
        <w:rPr>
          <w:highlight w:val="none"/>
          <w14:ligatures w14:val="none"/>
        </w:rPr>
      </w:r>
      <w:r>
        <w:rPr>
          <w:highlight w:val="none"/>
          <w14:ligatures w14:val="none"/>
        </w:rPr>
      </w:r>
    </w:p>
    <w:p>
      <w:pPr>
        <w:ind w:left="0" w:right="0" w:firstLine="708"/>
        <w:jc w:val="both"/>
        <w:spacing w:before="0" w:after="0" w:line="288" w:lineRule="atLeast"/>
        <w:rPr>
          <w:highlight w:val="none"/>
          <w14:ligatures w14:val="none"/>
        </w:rPr>
        <w:pBdr>
          <w:top w:val="none" w:color="000000" w:sz="4" w:space="0"/>
          <w:left w:val="none" w:color="000000" w:sz="4" w:space="0"/>
          <w:bottom w:val="none" w:color="000000" w:sz="4" w:space="0"/>
          <w:right w:val="none" w:color="000000" w:sz="4" w:space="0"/>
        </w:pBdr>
      </w:pPr>
      <w:r>
        <w:rPr>
          <w:highlight w:val="none"/>
        </w:rPr>
      </w:r>
      <w:r>
        <w:rPr>
          <w:highlight w:val="none"/>
          <w14:ligatures w14:val="none"/>
        </w:rPr>
      </w:r>
      <w:r>
        <w:rPr>
          <w:highlight w:val="none"/>
          <w14:ligatures w14:val="none"/>
        </w:rPr>
      </w:r>
    </w:p>
    <w:p>
      <w:pPr>
        <w:ind w:left="0" w:right="0" w:firstLine="708"/>
        <w:jc w:val="both"/>
        <w:spacing w:before="0" w:after="0" w:line="288" w:lineRule="atLeast"/>
        <w:rPr>
          <w:highlight w:val="none"/>
          <w14:ligatures w14:val="none"/>
        </w:rPr>
        <w:pBdr>
          <w:top w:val="none" w:color="000000" w:sz="4" w:space="0"/>
          <w:left w:val="none" w:color="000000" w:sz="4" w:space="0"/>
          <w:bottom w:val="none" w:color="000000" w:sz="4" w:space="0"/>
          <w:right w:val="none" w:color="000000" w:sz="4" w:space="0"/>
        </w:pBdr>
      </w:pPr>
      <w:r>
        <w:rPr>
          <w:b/>
          <w:bCs w:val="0"/>
          <w:i w:val="0"/>
          <w:sz w:val="28"/>
          <w:szCs w:val="28"/>
          <w:lang w:eastAsia="ru-RU"/>
          <w14:ligatures w14:val="none"/>
        </w:rPr>
      </w:r>
      <w:r>
        <mc:AlternateContent>
          <mc:Choice Requires="wpg">
            <w:drawing>
              <wp:inline xmlns:wp="http://schemas.openxmlformats.org/drawingml/2006/wordprocessingDrawing" distT="0" distB="0" distL="0" distR="0">
                <wp:extent cx="5940425" cy="8402827"/>
                <wp:effectExtent l="0" t="0" r="0" b="0"/>
                <wp:docPr id="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19038" name=""/>
                        <pic:cNvPicPr>
                          <a:picLocks noChangeAspect="1"/>
                        </pic:cNvPicPr>
                        <pic:nvPr/>
                      </pic:nvPicPr>
                      <pic:blipFill>
                        <a:blip r:embed="rId18"/>
                        <a:stretch/>
                      </pic:blipFill>
                      <pic:spPr bwMode="auto">
                        <a:xfrm>
                          <a:off x="0" y="0"/>
                          <a:ext cx="5940423" cy="84028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67.75pt;height:661.64pt;mso-wrap-distance-left:0.00pt;mso-wrap-distance-top:0.00pt;mso-wrap-distance-right:0.00pt;mso-wrap-distance-bottom:0.00pt;" stroked="false">
                <v:path textboxrect="0,0,0,0"/>
                <v:imagedata r:id="rId18" o:title=""/>
              </v:shape>
            </w:pict>
          </mc:Fallback>
        </mc:AlternateContent>
      </w:r>
      <w:r>
        <w:rPr>
          <w:highlight w:val="none"/>
          <w14:ligatures w14:val="none"/>
        </w:rPr>
      </w:r>
      <w:r>
        <w:rPr>
          <w:highlight w:val="none"/>
          <w14:ligatures w14:val="none"/>
        </w:rPr>
      </w:r>
    </w:p>
    <w:p>
      <w:pPr>
        <w:ind w:left="0" w:right="0" w:firstLine="708"/>
        <w:jc w:val="both"/>
        <w:spacing w:before="0" w:after="0" w:line="288" w:lineRule="atLeast"/>
        <w:rPr>
          <w:b/>
          <w:bCs w:val="0"/>
          <w:i w:val="0"/>
          <w:sz w:val="28"/>
          <w:szCs w:val="28"/>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lang w:eastAsia="ru-RU"/>
          <w14:ligatures w14:val="none"/>
        </w:rPr>
      </w:r>
      <w:r>
        <w:rPr>
          <w:b/>
          <w:bCs w:val="0"/>
          <w:i w:val="0"/>
          <w:sz w:val="28"/>
          <w:szCs w:val="28"/>
          <w:lang w:eastAsia="ru-RU"/>
          <w14:ligatures w14:val="none"/>
        </w:rPr>
      </w:r>
      <w:r>
        <w:rPr>
          <w:b/>
          <w:bCs w:val="0"/>
          <w:i w:val="0"/>
          <w:sz w:val="28"/>
          <w:szCs w:val="28"/>
          <w:lang w:eastAsia="ru-RU"/>
          <w14:ligatures w14:val="none"/>
        </w:rPr>
      </w:r>
    </w:p>
    <w:p>
      <w:pPr>
        <w:ind w:left="0" w:right="0" w:firstLine="708"/>
        <w:jc w:val="both"/>
        <w:spacing w:before="0" w:after="0" w:line="288" w:lineRule="atLeast"/>
        <w:rPr>
          <w:rFonts w:eastAsia="Times New Roman"/>
          <w:b/>
          <w:bCs/>
          <w:highlight w:val="none"/>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b/>
          <w:bCs/>
          <w:i w:val="0"/>
          <w:iCs w:val="0"/>
          <w:sz w:val="28"/>
          <w:szCs w:val="28"/>
          <w:highlight w:val="none"/>
          <w:lang w:eastAsia="ru-RU"/>
        </w:rPr>
      </w:r>
      <w:r>
        <mc:AlternateContent>
          <mc:Choice Requires="wpg">
            <w:drawing>
              <wp:inline xmlns:wp="http://schemas.openxmlformats.org/drawingml/2006/wordprocessingDrawing" distT="0" distB="0" distL="0" distR="0">
                <wp:extent cx="5815035" cy="8225461"/>
                <wp:effectExtent l="0" t="0" r="0" b="0"/>
                <wp:docPr id="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67686" name=""/>
                        <pic:cNvPicPr>
                          <a:picLocks noChangeAspect="1"/>
                        </pic:cNvPicPr>
                        <pic:nvPr/>
                      </pic:nvPicPr>
                      <pic:blipFill>
                        <a:blip r:embed="rId19"/>
                        <a:stretch/>
                      </pic:blipFill>
                      <pic:spPr bwMode="auto">
                        <a:xfrm flipH="0" flipV="0">
                          <a:off x="0" y="0"/>
                          <a:ext cx="5815035" cy="822546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457.88pt;height:647.67pt;mso-wrap-distance-left:0.00pt;mso-wrap-distance-top:0.00pt;mso-wrap-distance-right:0.00pt;mso-wrap-distance-bottom:0.00pt;" stroked="false">
                <v:path textboxrect="0,0,0,0"/>
                <v:imagedata r:id="rId19" o:title=""/>
              </v:shape>
            </w:pict>
          </mc:Fallback>
        </mc:AlternateContent>
      </w:r>
      <w:r>
        <w:rPr>
          <w:rFonts w:eastAsia="Times New Roman"/>
          <w:b/>
          <w:bCs/>
          <w:highlight w:val="none"/>
          <w:shd w:val="clear" w:color="auto" w:fill="ffffff"/>
          <w:lang w:eastAsia="ru-RU"/>
          <w14:ligatures w14:val="none"/>
        </w:rPr>
      </w:r>
      <w:r>
        <w:rPr>
          <w:rFonts w:eastAsia="Times New Roman"/>
          <w:b/>
          <w:bCs/>
          <w:highlight w:val="none"/>
          <w:shd w:val="clear" w:color="auto" w:fill="ffffff"/>
          <w:lang w:eastAsia="ru-RU"/>
          <w14:ligatures w14:val="none"/>
        </w:rPr>
      </w:r>
    </w:p>
    <w:p>
      <w:pPr>
        <w:pStyle w:val="1014"/>
        <w:ind w:left="1069" w:firstLine="0"/>
        <w:jc w:val="center"/>
        <w:rPr>
          <w:rFonts w:ascii="Times New Roman" w:hAnsi="Times New Roman" w:cs="Times New Roman"/>
          <w:b/>
          <w:bCs/>
          <w:i/>
          <w:sz w:val="28"/>
          <w:szCs w:val="28"/>
          <w:highlight w:val="none"/>
        </w:rPr>
      </w:pP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r>
        <w:rPr>
          <w:rFonts w:ascii="Times New Roman" w:hAnsi="Times New Roman" w:cs="Times New Roman"/>
          <w:b/>
          <w:bCs/>
          <w:i/>
          <w:sz w:val="28"/>
          <w:szCs w:val="28"/>
          <w:highlight w:val="none"/>
        </w:rPr>
      </w:r>
    </w:p>
    <w:p>
      <w:pPr>
        <w:ind w:left="0" w:right="0" w:firstLine="708"/>
        <w:jc w:val="both"/>
        <w:spacing w:before="0" w:after="0" w:line="288" w:lineRule="atLeast"/>
        <w:rPr>
          <w:rFonts w:eastAsia="Times New Roman"/>
          <w:b/>
          <w:bCs/>
          <w:shd w:val="clear" w:color="auto" w:fill="ffffff"/>
          <w:lang w:eastAsia="ru-RU"/>
          <w14:ligatures w14:val="none"/>
        </w:rPr>
        <w:pBdr>
          <w:top w:val="none" w:color="000000" w:sz="4" w:space="0"/>
          <w:left w:val="none" w:color="000000" w:sz="4" w:space="0"/>
          <w:bottom w:val="none" w:color="000000" w:sz="4" w:space="0"/>
          <w:right w:val="none" w:color="000000" w:sz="4" w:space="0"/>
        </w:pBdr>
        <w:sectPr>
          <w:footnotePr/>
          <w:endnotePr/>
          <w:type w:val="nextPage"/>
          <w:pgSz w:w="11906" w:h="16838" w:orient="portrait"/>
          <w:pgMar w:top="1134" w:right="850" w:bottom="1134" w:left="1701" w:header="709" w:footer="709" w:gutter="0"/>
          <w:cols w:num="1" w:sep="0" w:space="708" w:equalWidth="1"/>
          <w:docGrid w:linePitch="360"/>
        </w:sectPr>
      </w:pPr>
      <w:r>
        <w:rPr>
          <w:rFonts w:eastAsia="Times New Roman"/>
          <w:b/>
          <w:bCs/>
          <w:shd w:val="clear" w:color="auto" w:fill="ffffff"/>
          <w:lang w:eastAsia="ru-RU"/>
        </w:rPr>
      </w:r>
      <w:r>
        <w:rPr>
          <w:rFonts w:eastAsia="Times New Roman"/>
          <w:b/>
          <w:bCs/>
          <w:shd w:val="clear" w:color="auto" w:fill="ffffff"/>
          <w:lang w:eastAsia="ru-RU"/>
          <w14:ligatures w14:val="none"/>
        </w:rPr>
      </w:r>
      <w:r>
        <w:rPr>
          <w:rFonts w:eastAsia="Times New Roman"/>
          <w:b/>
          <w:bCs/>
          <w:shd w:val="clear" w:color="auto" w:fill="ffffff"/>
          <w:lang w:eastAsia="ru-RU"/>
          <w14:ligatures w14:val="none"/>
        </w:rPr>
      </w:r>
    </w:p>
    <w:p>
      <w:pPr>
        <w:ind w:left="0" w:right="0" w:firstLine="708"/>
        <w:jc w:val="both"/>
        <w:spacing w:before="0" w:after="0" w:line="288" w:lineRule="atLeast"/>
        <w:rPr>
          <w:b/>
          <w:bCs w:val="0"/>
          <w:i w:val="0"/>
          <w:sz w:val="28"/>
          <w:szCs w:val="28"/>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highlight w:val="none"/>
          <w:lang w:eastAsia="ru-RU"/>
          <w14:ligatures w14:val="none"/>
        </w:rPr>
      </w:r>
      <w:r>
        <w:rPr>
          <w:rFonts w:eastAsia="Times New Roman"/>
          <w:b/>
          <w:bCs/>
          <w:shd w:val="clear" w:color="auto" w:fill="ffffff"/>
          <w:lang w:eastAsia="ru-RU"/>
        </w:rPr>
        <w:t xml:space="preserve">2.</w:t>
      </w:r>
      <w:r>
        <w:rPr>
          <w:b/>
          <w:bCs/>
          <w:i w:val="0"/>
          <w:iCs w:val="0"/>
          <w:sz w:val="28"/>
          <w:szCs w:val="28"/>
          <w:lang w:eastAsia="ru-RU"/>
        </w:rPr>
        <w:t xml:space="preserve"> </w:t>
      </w:r>
      <w:r>
        <w:rPr>
          <w:b/>
          <w:bCs/>
          <w:i w:val="0"/>
          <w:iCs w:val="0"/>
          <w:sz w:val="28"/>
          <w:szCs w:val="28"/>
          <w:lang w:eastAsia="ru-RU"/>
        </w:rPr>
        <w:t xml:space="preserve">Письмо Росреес</w:t>
      </w:r>
      <w:r>
        <w:rPr>
          <w:b/>
          <w:bCs/>
          <w:i w:val="0"/>
          <w:iCs w:val="0"/>
          <w:sz w:val="28"/>
          <w:szCs w:val="28"/>
          <w:lang w:eastAsia="ru-RU"/>
        </w:rPr>
        <w:t xml:space="preserve">тр</w:t>
      </w:r>
      <w:r>
        <w:rPr>
          <w:b/>
          <w:bCs/>
          <w:i w:val="0"/>
          <w:iCs w:val="0"/>
          <w:sz w:val="28"/>
          <w:szCs w:val="28"/>
          <w:lang w:eastAsia="ru-RU"/>
        </w:rPr>
        <w:t xml:space="preserve">а </w:t>
      </w:r>
      <w:r>
        <w:rPr>
          <w:b/>
          <w:bCs/>
          <w:i w:val="0"/>
          <w:iCs w:val="0"/>
          <w:sz w:val="28"/>
          <w:szCs w:val="28"/>
          <w:lang w:eastAsia="ru-RU"/>
        </w:rPr>
        <w:t xml:space="preserve">от </w:t>
      </w:r>
      <w:r>
        <w:rPr>
          <w:b/>
          <w:bCs/>
          <w:i w:val="0"/>
          <w:iCs w:val="0"/>
          <w:sz w:val="28"/>
          <w:szCs w:val="28"/>
          <w:lang w:eastAsia="ru-RU"/>
        </w:rPr>
        <w:t xml:space="preserve">25.05.2026</w:t>
      </w:r>
      <w:r>
        <w:rPr>
          <w:b/>
          <w:bCs/>
          <w:i w:val="0"/>
          <w:iCs w:val="0"/>
          <w:sz w:val="28"/>
          <w:szCs w:val="28"/>
          <w:lang w:eastAsia="ru-RU"/>
        </w:rPr>
        <w:t xml:space="preserve"> № </w:t>
      </w:r>
      <w:r>
        <w:rPr>
          <w:b/>
          <w:bCs/>
          <w:i w:val="0"/>
          <w:iCs w:val="0"/>
          <w:sz w:val="28"/>
          <w:szCs w:val="28"/>
          <w:lang w:eastAsia="ru-RU"/>
        </w:rPr>
        <w:t xml:space="preserve">14-5515-ЛЛ/26</w:t>
      </w:r>
      <w:r>
        <w:rPr>
          <w:b/>
          <w:bCs/>
          <w:i w:val="0"/>
          <w:iCs w:val="0"/>
          <w:sz w:val="28"/>
          <w:szCs w:val="28"/>
          <w:lang w:eastAsia="ru-RU"/>
        </w:rPr>
        <w:t xml:space="preserve"> </w:t>
      </w:r>
      <w:r>
        <w:rPr>
          <w:b/>
          <w:bCs/>
          <w:i w:val="0"/>
          <w:iCs w:val="0"/>
          <w:sz w:val="28"/>
          <w:szCs w:val="28"/>
          <w:lang w:eastAsia="ru-RU"/>
        </w:rPr>
        <w:t xml:space="preserve">по в</w:t>
      </w:r>
      <w:r>
        <w:rPr>
          <w:b/>
          <w:bCs/>
          <w:i w:val="0"/>
          <w:iCs w:val="0"/>
          <w:sz w:val="28"/>
          <w:szCs w:val="28"/>
          <w:lang w:eastAsia="ru-RU"/>
        </w:rPr>
        <w:t xml:space="preserve">опросу </w:t>
      </w:r>
      <w:r>
        <w:rPr>
          <w:b/>
          <w:bCs/>
          <w:i w:val="0"/>
          <w:iCs w:val="0"/>
          <w:sz w:val="28"/>
          <w:szCs w:val="28"/>
          <w:lang w:eastAsia="ru-RU"/>
        </w:rPr>
        <w:t xml:space="preserve">изменения вида разрешенного использования </w:t>
      </w:r>
      <w:r>
        <w:rPr>
          <w:b/>
          <w:bCs/>
          <w:i w:val="0"/>
          <w:iCs w:val="0"/>
          <w:sz w:val="28"/>
          <w:szCs w:val="28"/>
          <w:lang w:eastAsia="ru-RU"/>
        </w:rPr>
        <w:t xml:space="preserve">(далее – ВРИ)</w:t>
      </w:r>
      <w:r>
        <w:rPr>
          <w:b/>
          <w:bCs/>
          <w:i w:val="0"/>
          <w:iCs w:val="0"/>
          <w:sz w:val="28"/>
          <w:szCs w:val="28"/>
          <w:lang w:eastAsia="ru-RU"/>
        </w:rPr>
        <w:t xml:space="preserve"> земельного участка в случае, если выбранный заявителем ВРИ не соответствует разрешенному использованию (назначению, наименованию) зданий или сооружений, расположенных на таком земельном у</w:t>
      </w:r>
      <w:r>
        <w:rPr>
          <w:b/>
          <w:bCs/>
          <w:i w:val="0"/>
          <w:iCs w:val="0"/>
          <w:sz w:val="28"/>
          <w:szCs w:val="28"/>
          <w:lang w:eastAsia="ru-RU"/>
        </w:rPr>
        <w:t xml:space="preserve">частке.</w:t>
      </w:r>
      <w:r>
        <w:rPr>
          <w:b/>
          <w:bCs w:val="0"/>
          <w:i w:val="0"/>
          <w:sz w:val="28"/>
          <w:szCs w:val="28"/>
          <w:lang w:eastAsia="ru-RU"/>
          <w14:ligatures w14:val="none"/>
        </w:rPr>
      </w:r>
      <w:r>
        <w:rPr>
          <w:b/>
          <w:bCs w:val="0"/>
          <w:i w:val="0"/>
          <w:sz w:val="28"/>
          <w:szCs w:val="28"/>
          <w:lang w:eastAsia="ru-RU"/>
          <w14:ligatures w14:val="none"/>
        </w:rPr>
      </w:r>
    </w:p>
    <w:p>
      <w:pPr>
        <w:ind w:left="0" w:right="0" w:firstLine="708"/>
        <w:jc w:val="both"/>
        <w:spacing w:before="0" w:after="0" w:line="288" w:lineRule="atLeast"/>
        <w:rPr>
          <w:b/>
          <w:bCs w:val="0"/>
          <w:i w:val="0"/>
          <w:sz w:val="28"/>
          <w:szCs w:val="28"/>
          <w:highlight w:val="none"/>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highlight w:val="none"/>
          <w:lang w:eastAsia="ru-RU"/>
          <w14:ligatures w14:val="none"/>
        </w:rPr>
      </w:r>
      <w:r>
        <mc:AlternateContent>
          <mc:Choice Requires="wpg">
            <w:drawing>
              <wp:inline xmlns:wp="http://schemas.openxmlformats.org/drawingml/2006/wordprocessingDrawing" distT="0" distB="0" distL="0" distR="0">
                <wp:extent cx="5330772" cy="7540463"/>
                <wp:effectExtent l="0" t="0" r="0" b="0"/>
                <wp:docPr id="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13185" name=""/>
                        <pic:cNvPicPr>
                          <a:picLocks noChangeAspect="1"/>
                        </pic:cNvPicPr>
                        <pic:nvPr/>
                      </pic:nvPicPr>
                      <pic:blipFill>
                        <a:blip r:embed="rId20"/>
                        <a:stretch/>
                      </pic:blipFill>
                      <pic:spPr bwMode="auto">
                        <a:xfrm flipH="0" flipV="0">
                          <a:off x="0" y="0"/>
                          <a:ext cx="5330772" cy="7540462"/>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19.75pt;height:593.74pt;mso-wrap-distance-left:0.00pt;mso-wrap-distance-top:0.00pt;mso-wrap-distance-right:0.00pt;mso-wrap-distance-bottom:0.00pt;" stroked="false">
                <v:path textboxrect="0,0,0,0"/>
                <v:imagedata r:id="rId20" o:title=""/>
              </v:shape>
            </w:pict>
          </mc:Fallback>
        </mc:AlternateContent>
      </w:r>
      <w:r>
        <w:rPr>
          <w:b/>
          <w:bCs w:val="0"/>
          <w:i w:val="0"/>
          <w:sz w:val="28"/>
          <w:szCs w:val="28"/>
          <w:highlight w:val="none"/>
          <w:lang w:eastAsia="ru-RU"/>
          <w14:ligatures w14:val="none"/>
        </w:rPr>
      </w:r>
      <w:r>
        <w:rPr>
          <w:b/>
          <w:bCs w:val="0"/>
          <w:i w:val="0"/>
          <w:sz w:val="28"/>
          <w:szCs w:val="28"/>
          <w:highlight w:val="none"/>
          <w:lang w:eastAsia="ru-RU"/>
          <w14:ligatures w14:val="none"/>
        </w:rPr>
      </w:r>
    </w:p>
    <w:p>
      <w:pPr>
        <w:ind w:left="0" w:right="0" w:firstLine="708"/>
        <w:jc w:val="both"/>
        <w:spacing w:before="0" w:after="0" w:line="288" w:lineRule="atLeast"/>
        <w:rPr>
          <w:b/>
          <w:bCs w:val="0"/>
          <w:i w:val="0"/>
          <w:sz w:val="28"/>
          <w:szCs w:val="28"/>
          <w:highlight w:val="none"/>
          <w:lang w:eastAsia="ru-RU"/>
          <w14:ligatures w14:val="none"/>
        </w:rPr>
        <w:pBdr>
          <w:top w:val="none" w:color="000000" w:sz="4" w:space="0"/>
          <w:left w:val="none" w:color="000000" w:sz="4" w:space="0"/>
          <w:bottom w:val="none" w:color="000000" w:sz="4" w:space="0"/>
          <w:right w:val="none" w:color="000000" w:sz="4" w:space="0"/>
        </w:pBdr>
      </w:pPr>
      <w:r>
        <w:rPr>
          <w:b/>
          <w:bCs w:val="0"/>
          <w:i w:val="0"/>
          <w:sz w:val="28"/>
          <w:szCs w:val="28"/>
          <w:highlight w:val="none"/>
          <w:lang w:eastAsia="ru-RU"/>
          <w14:ligatures w14:val="none"/>
        </w:rPr>
      </w:r>
      <w:r>
        <mc:AlternateContent>
          <mc:Choice Requires="wpg">
            <w:drawing>
              <wp:inline xmlns:wp="http://schemas.openxmlformats.org/drawingml/2006/wordprocessingDrawing" distT="0" distB="0" distL="0" distR="0">
                <wp:extent cx="5940425" cy="8402827"/>
                <wp:effectExtent l="0" t="0" r="0" b="0"/>
                <wp:docPr id="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371947" name=""/>
                        <pic:cNvPicPr>
                          <a:picLocks noChangeAspect="1"/>
                        </pic:cNvPicPr>
                        <pic:nvPr/>
                      </pic:nvPicPr>
                      <pic:blipFill>
                        <a:blip r:embed="rId21"/>
                        <a:stretch/>
                      </pic:blipFill>
                      <pic:spPr bwMode="auto">
                        <a:xfrm>
                          <a:off x="0" y="0"/>
                          <a:ext cx="5940423" cy="84028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467.75pt;height:661.64pt;mso-wrap-distance-left:0.00pt;mso-wrap-distance-top:0.00pt;mso-wrap-distance-right:0.00pt;mso-wrap-distance-bottom:0.00pt;" stroked="false">
                <v:path textboxrect="0,0,0,0"/>
                <v:imagedata r:id="rId21" o:title=""/>
              </v:shape>
            </w:pict>
          </mc:Fallback>
        </mc:AlternateContent>
      </w:r>
      <w:r>
        <w:rPr>
          <w:b/>
          <w:bCs w:val="0"/>
          <w:i w:val="0"/>
          <w:sz w:val="28"/>
          <w:szCs w:val="28"/>
          <w:highlight w:val="none"/>
          <w:lang w:eastAsia="ru-RU"/>
          <w14:ligatures w14:val="none"/>
        </w:rPr>
      </w:r>
      <w:r>
        <w:rPr>
          <w:b/>
          <w:bCs w:val="0"/>
          <w:i w:val="0"/>
          <w:sz w:val="28"/>
          <w:szCs w:val="28"/>
          <w:highlight w:val="none"/>
          <w:lang w:eastAsia="ru-RU"/>
          <w14:ligatures w14:val="none"/>
        </w:rPr>
      </w:r>
    </w:p>
    <w:p>
      <w:pPr>
        <w:ind w:left="0" w:right="0" w:firstLine="708"/>
        <w:jc w:val="both"/>
        <w:spacing w:before="0" w:after="0" w:line="288" w:lineRule="atLeast"/>
        <w:rPr>
          <w:rFonts w:eastAsia="Times New Roman"/>
          <w:b/>
          <w:bCs/>
          <w:highlight w:val="none"/>
          <w:lang w:eastAsia="ru-RU"/>
          <w14:ligatures w14:val="none"/>
        </w:rPr>
        <w:pBdr>
          <w:top w:val="none" w:color="000000" w:sz="4" w:space="0"/>
          <w:left w:val="none" w:color="000000" w:sz="4" w:space="0"/>
          <w:bottom w:val="none" w:color="000000" w:sz="4" w:space="0"/>
          <w:right w:val="none" w:color="000000" w:sz="4" w:space="0"/>
        </w:pBdr>
      </w:pPr>
      <w:r>
        <w:rPr>
          <w:rFonts w:eastAsia="Times New Roman"/>
          <w:b/>
          <w:bCs/>
          <w:highlight w:val="none"/>
          <w:lang w:eastAsia="ru-RU"/>
          <w14:ligatures w14:val="none"/>
        </w:rPr>
      </w:r>
      <w:r>
        <w:rPr>
          <w:rFonts w:eastAsia="Times New Roman"/>
          <w:b/>
          <w:bCs/>
          <w:highlight w:val="none"/>
          <w:lang w:eastAsia="ru-RU"/>
          <w14:ligatures w14:val="none"/>
        </w:rPr>
      </w:r>
      <w:r>
        <w:rPr>
          <w:rFonts w:eastAsia="Times New Roman"/>
          <w:b/>
          <w:bCs/>
          <w:highlight w:val="none"/>
          <w:lang w:eastAsia="ru-RU"/>
          <w14:ligatures w14:val="none"/>
        </w:rPr>
      </w:r>
    </w:p>
    <w:p>
      <w:pPr>
        <w:ind w:firstLine="0"/>
        <w:jc w:val="both"/>
        <w:rPr>
          <w:rFonts w:eastAsia="Times New Roman"/>
          <w:b/>
          <w:bCs/>
          <w:highlight w:val="none"/>
          <w:lang w:eastAsia="ru-RU"/>
          <w14:ligatures w14:val="none"/>
        </w:rPr>
      </w:pPr>
      <w:r>
        <w:rPr>
          <w:rFonts w:eastAsia="Times New Roman"/>
          <w:b/>
          <w:bCs/>
          <w:highlight w:val="none"/>
          <w:lang w:eastAsia="ru-RU"/>
          <w14:ligatures w14:val="none"/>
        </w:rPr>
      </w:r>
      <w:r>
        <w:rPr>
          <w:rFonts w:eastAsia="Times New Roman"/>
          <w:b/>
          <w:bCs/>
          <w:highlight w:val="none"/>
          <w:lang w:eastAsia="ru-RU"/>
          <w14:ligatures w14:val="none"/>
        </w:rPr>
      </w:r>
      <w:r>
        <w:rPr>
          <w:rFonts w:eastAsia="Times New Roman"/>
          <w:b/>
          <w:bCs/>
          <w:highlight w:val="none"/>
          <w:lang w:eastAsia="ru-RU"/>
          <w14:ligatures w14:val="none"/>
        </w:rPr>
      </w:r>
    </w:p>
    <w:p>
      <w:pPr>
        <w:jc w:val="both"/>
        <w:rPr>
          <w:rFonts w:eastAsia="Times New Roman"/>
          <w:b/>
          <w:bCs/>
          <w:highlight w:val="none"/>
          <w:lang w:eastAsia="ru-RU"/>
          <w14:ligatures w14:val="none"/>
        </w:rPr>
      </w:pPr>
      <w:r>
        <w:rPr>
          <w:rFonts w:eastAsia="Times New Roman"/>
          <w:b/>
          <w:bCs/>
          <w:shd w:val="clear" w:color="auto" w:fill="ffffff"/>
          <w:lang w:eastAsia="ru-RU"/>
        </w:rPr>
      </w:r>
      <w:r>
        <w:rPr>
          <w:rFonts w:eastAsia="Times New Roman"/>
          <w:b/>
          <w:bCs/>
          <w:highlight w:val="none"/>
          <w:lang w:eastAsia="ru-RU"/>
          <w14:ligatures w14:val="none"/>
        </w:rPr>
      </w:r>
      <w:r>
        <w:rPr>
          <w:rFonts w:eastAsia="Times New Roman"/>
          <w:b/>
          <w:bCs/>
          <w:highlight w:val="none"/>
          <w:lang w:eastAsia="ru-RU"/>
          <w14:ligatures w14:val="none"/>
        </w:rPr>
      </w:r>
    </w:p>
    <w:p>
      <w:pPr>
        <w:ind w:firstLine="0"/>
        <w:spacing w:line="240" w:lineRule="auto"/>
        <w:rPr>
          <w:b/>
          <w:bCs/>
          <w:color w:val="000000"/>
          <w14:ligatures w14:val="none"/>
        </w:rPr>
        <w:pBdr>
          <w:top w:val="none" w:color="000000" w:sz="4" w:space="0"/>
          <w:left w:val="none" w:color="000000" w:sz="4" w:space="0"/>
          <w:bottom w:val="none" w:color="000000" w:sz="4" w:space="0"/>
          <w:right w:val="none" w:color="000000" w:sz="4" w:space="0"/>
        </w:pBdr>
        <w:sectPr>
          <w:footnotePr/>
          <w:endnotePr/>
          <w:type w:val="nextPage"/>
          <w:pgSz w:w="11906" w:h="16838" w:orient="portrait"/>
          <w:pgMar w:top="1134" w:right="850" w:bottom="1134" w:left="1701" w:header="709" w:footer="709" w:gutter="0"/>
          <w:cols w:num="1" w:sep="0" w:space="708" w:equalWidth="1"/>
          <w:docGrid w:linePitch="360"/>
        </w:sectPr>
      </w:pPr>
      <w:r>
        <w:rPr>
          <w:b/>
          <w:bCs/>
          <w:color w:val="000000"/>
          <w14:ligatures w14:val="none"/>
        </w:rPr>
      </w:r>
      <w:r>
        <w:rPr>
          <w:b/>
          <w:bCs/>
          <w:color w:val="000000"/>
          <w14:ligatures w14:val="none"/>
        </w:rPr>
      </w:r>
      <w:r>
        <w:rPr>
          <w:b/>
          <w:bCs/>
          <w:color w:val="000000"/>
          <w14:ligatures w14:val="none"/>
        </w:rPr>
      </w:r>
    </w:p>
    <w:p>
      <w:pPr>
        <w:ind w:firstLine="708"/>
        <w:jc w:val="both"/>
        <w:rPr>
          <w:rFonts w:ascii="Times New Roman" w:hAnsi="Times New Roman" w:cs="Times New Roman"/>
          <w:b/>
          <w:bCs/>
          <w:i/>
          <w:sz w:val="28"/>
          <w:szCs w:val="28"/>
          <w:highlight w:val="none"/>
          <w14:ligatures w14:val="none"/>
        </w:rPr>
      </w:pPr>
      <w:r>
        <w:rPr>
          <w:rStyle w:val="1019"/>
          <w:rFonts w:ascii="Times New Roman" w:hAnsi="Times New Roman" w:cs="Times New Roman"/>
          <w:b/>
          <w:i/>
          <w:sz w:val="28"/>
          <w:szCs w:val="28"/>
        </w:rPr>
        <w:t xml:space="preserve">Новости информационных сайтов</w:t>
      </w:r>
      <w:r>
        <w:rPr>
          <w:rFonts w:ascii="Times New Roman" w:hAnsi="Times New Roman" w:cs="Times New Roman"/>
          <w:b/>
          <w:i/>
          <w:sz w:val="28"/>
          <w:szCs w:val="28"/>
        </w:rPr>
        <w:t xml:space="preserve"> Минэкономразвития России</w:t>
      </w:r>
      <w:r>
        <w:rPr>
          <w:rStyle w:val="1019"/>
          <w:rFonts w:ascii="Times New Roman" w:hAnsi="Times New Roman" w:cs="Times New Roman"/>
          <w:b/>
          <w:i/>
          <w:sz w:val="28"/>
          <w:szCs w:val="28"/>
        </w:rPr>
        <w:t xml:space="preserve">, Росреестра и Управления Росреестра по Новосибирской области</w:t>
      </w:r>
      <w:r>
        <w:rPr>
          <w:rFonts w:ascii="Times New Roman" w:hAnsi="Times New Roman" w:cs="Times New Roman"/>
          <w:b/>
          <w:bCs/>
          <w:i/>
          <w:sz w:val="28"/>
          <w:szCs w:val="28"/>
          <w:highlight w:val="none"/>
          <w14:ligatures w14:val="none"/>
        </w:rPr>
      </w:r>
      <w:r>
        <w:rPr>
          <w:rFonts w:ascii="Times New Roman" w:hAnsi="Times New Roman" w:cs="Times New Roman"/>
          <w:b/>
          <w:bCs/>
          <w:i/>
          <w:sz w:val="28"/>
          <w:szCs w:val="28"/>
          <w:highlight w:val="none"/>
          <w14:ligatures w14:val="none"/>
        </w:rPr>
      </w:r>
    </w:p>
    <w:p>
      <w:pPr>
        <w:jc w:val="both"/>
        <w:rPr>
          <w:b/>
          <w:bCs/>
          <w14:ligatures w14:val="none"/>
        </w:rPr>
        <w:pBdr>
          <w:top w:val="none" w:color="000000" w:sz="4" w:space="0"/>
          <w:left w:val="none" w:color="000000" w:sz="4" w:space="0"/>
          <w:bottom w:val="none" w:color="000000" w:sz="4" w:space="0"/>
          <w:right w:val="none" w:color="000000" w:sz="4" w:space="0"/>
        </w:pBdr>
      </w:pPr>
      <w:r>
        <w:rPr>
          <w:b/>
          <w:bCs/>
          <w14:ligatures w14:val="none"/>
        </w:rPr>
      </w:r>
      <w:r>
        <w:rPr>
          <w:b/>
          <w:bCs/>
          <w14:ligatures w14:val="none"/>
        </w:rPr>
      </w:r>
      <w:r>
        <w:rPr>
          <w:b/>
          <w:bCs/>
          <w14:ligatures w14:val="none"/>
        </w:rPr>
      </w:r>
    </w:p>
    <w:p>
      <w:pPr>
        <w:ind w:firstLine="709"/>
        <w:jc w:val="both"/>
        <w:spacing w:after="0" w:line="252" w:lineRule="auto"/>
        <w:rPr>
          <w:rFonts w:eastAsia="Times New Roman"/>
          <w:b/>
          <w:bCs/>
          <w:lang w:eastAsia="ru-RU"/>
          <w14:ligatures w14:val="none"/>
        </w:rPr>
        <w:pBdr>
          <w:top w:val="none" w:color="000000" w:sz="4" w:space="0"/>
          <w:left w:val="none" w:color="000000" w:sz="4" w:space="0"/>
          <w:bottom w:val="none" w:color="000000" w:sz="4" w:space="0"/>
          <w:right w:val="none" w:color="000000" w:sz="4" w:space="0"/>
        </w:pBdr>
      </w:pPr>
      <w:r>
        <w:rPr>
          <w:b/>
          <w:bCs/>
          <w:color w:val="000000" w:themeColor="text1"/>
          <w14:ligatures w14:val="none"/>
        </w:rPr>
        <w:t xml:space="preserve">1.</w:t>
      </w:r>
      <w:r>
        <w:rPr>
          <w:b/>
          <w:bCs/>
          <w:highlight w:val="none"/>
        </w:rPr>
        <w:t xml:space="preserve"> </w:t>
      </w:r>
      <w:r>
        <w:rPr>
          <w:rFonts w:eastAsia="Times New Roman"/>
          <w:b/>
          <w:bCs/>
          <w:shd w:val="clear" w:color="auto" w:fill="ffffff"/>
          <w:lang w:eastAsia="ru-RU"/>
        </w:rPr>
        <w:t xml:space="preserve">Материал Росреестра о топонимах опубликован в Информационном бюллетене Группы экспертов ООН.</w:t>
      </w:r>
      <w:r>
        <w:rPr>
          <w:rFonts w:eastAsia="Times New Roman"/>
          <w:b/>
          <w:bCs/>
          <w:lang w:eastAsia="ru-RU"/>
          <w14:ligatures w14:val="none"/>
        </w:rPr>
      </w:r>
      <w:r>
        <w:rPr>
          <w:rFonts w:eastAsia="Times New Roman"/>
          <w:b/>
          <w:bCs/>
          <w:lang w:eastAsia="ru-RU"/>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70-м выпуске Информационного бюллетеня Группы экспертов по географическим названиям ООН опубликовали статью Росреестра о топонимах. Материал «Топоним как языковый памятник народов Российской Федерации» подготовили начальник Управления геодезии и картогра</w:t>
      </w:r>
      <w:r>
        <w:rPr>
          <w:rFonts w:eastAsia="Times New Roman"/>
          <w:b w:val="0"/>
          <w:bCs w:val="0"/>
          <w:shd w:val="clear" w:color="auto" w:fill="ffffff"/>
          <w:lang w:eastAsia="ru-RU"/>
        </w:rPr>
        <w:t xml:space="preserve">фии Росреестра </w:t>
      </w:r>
      <w:r>
        <w:rPr>
          <w:rFonts w:eastAsia="Times New Roman"/>
          <w:b w:val="0"/>
          <w:bCs w:val="0"/>
          <w:shd w:val="clear" w:color="auto" w:fill="ffffff"/>
          <w:lang w:eastAsia="ru-RU"/>
        </w:rPr>
        <w:t xml:space="preserve">Диана Исмаилова</w:t>
      </w:r>
      <w:r>
        <w:rPr>
          <w:rFonts w:eastAsia="Times New Roman"/>
          <w:b w:val="0"/>
          <w:bCs w:val="0"/>
          <w:shd w:val="clear" w:color="auto" w:fill="ffffff"/>
          <w:lang w:eastAsia="ru-RU"/>
        </w:rPr>
        <w:t xml:space="preserve"> и сотрудники этого управления - </w:t>
      </w:r>
      <w:r>
        <w:rPr>
          <w:rFonts w:eastAsia="Times New Roman"/>
          <w:b w:val="0"/>
          <w:bCs w:val="0"/>
          <w:shd w:val="clear" w:color="auto" w:fill="ffffff"/>
          <w:lang w:eastAsia="ru-RU"/>
        </w:rPr>
        <w:t xml:space="preserve">Екатерина Евдокимова</w:t>
      </w:r>
      <w:r>
        <w:rPr>
          <w:rFonts w:eastAsia="Times New Roman"/>
          <w:b w:val="0"/>
          <w:bCs w:val="0"/>
          <w:shd w:val="clear" w:color="auto" w:fill="ffffff"/>
          <w:lang w:eastAsia="ru-RU"/>
        </w:rPr>
        <w:t xml:space="preserve"> и </w:t>
      </w:r>
      <w:r>
        <w:rPr>
          <w:rFonts w:eastAsia="Times New Roman"/>
          <w:b w:val="0"/>
          <w:bCs w:val="0"/>
          <w:shd w:val="clear" w:color="auto" w:fill="ffffff"/>
          <w:lang w:eastAsia="ru-RU"/>
        </w:rPr>
        <w:t xml:space="preserve">Галина Ашарина</w:t>
      </w:r>
      <w:r>
        <w:rPr>
          <w:rFonts w:eastAsia="Times New Roman"/>
          <w:b w:val="0"/>
          <w:bCs w:val="0"/>
          <w:shd w:val="clear" w:color="auto" w:fill="ffffff"/>
          <w:lang w:eastAsia="ru-RU"/>
        </w:rPr>
        <w:t xml:space="preserve">.</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Топонимы - это имена географических объектов (городов, рек, гор, улиц, озер и др.), которые служат ориентирами и хранят в себе историю и культуру народа. Любой топоним - это своеобразный памятник эпохи.</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Авторы материала рассказали в сборнике об образовании некоторых топонимов на территории страны. В их числе поселок Белая Вежа в Белгородской области. Топоним сохраняет память о приобретении независимости Руси от Хазарского каганата. В 965 г. князь Святосла</w:t>
      </w:r>
      <w:r>
        <w:rPr>
          <w:rFonts w:eastAsia="Times New Roman"/>
          <w:b w:val="0"/>
          <w:bCs w:val="0"/>
          <w:shd w:val="clear" w:color="auto" w:fill="ffffff"/>
          <w:lang w:eastAsia="ru-RU"/>
        </w:rPr>
        <w:t xml:space="preserve">в, проходя по торговому пути из Крыма к Волге, завоевал мощную хазарскую крепость Саркел. После завоевания князь переименовал её в Белую Вежу – так на русский язык переводится хазарский город Саркел, а «вежа» означает укрепление, постройку.</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Наименование села Манапкала в Дагестане состоит из двух слов: «манап» – имя человека и «кала» – крепость, башня. В переводе с аварского на русский – «башня Манапа».</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Название аэропорта Талакан в Якутии связано с пребыванием здесь в IX–X в. эвенкийского племени оленеводов. Они перекочевали из Амурской области и основали стойбище оленей, которое называли Талакан. С древнетюркского «Тала» переводится как «степь, поле». К </w:t>
      </w:r>
      <w:r>
        <w:rPr>
          <w:rFonts w:eastAsia="Times New Roman"/>
          <w:b w:val="0"/>
          <w:bCs w:val="0"/>
          <w:shd w:val="clear" w:color="auto" w:fill="ffffff"/>
          <w:lang w:eastAsia="ru-RU"/>
        </w:rPr>
        <w:t xml:space="preserve">нему присоединен уменьшительно-ласкательный аффикс эвенкийского языка «кан». В итоге наименование Талакан переводится как «полюшко» или «поляна».</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Напомним, что Росреестр является уполномоченным органом в сфере регулирования наименований географических объектов в России. Ведомство проводит экспертизу предложений и ведет Государственный каталог географических названий. В настоящее время в Государствен</w:t>
      </w:r>
      <w:r>
        <w:rPr>
          <w:rFonts w:eastAsia="Times New Roman"/>
          <w:b w:val="0"/>
          <w:bCs w:val="0"/>
          <w:shd w:val="clear" w:color="auto" w:fill="ffffff"/>
          <w:lang w:eastAsia="ru-RU"/>
        </w:rPr>
        <w:t xml:space="preserve">ном каталоге зарегистрировано более 850 тыс. наименований.</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Наименования объектов являются составной частью исторического, культурного наследия народов Российской Федерации и охраняются государством. Произвол</w:t>
      </w:r>
      <w:r>
        <w:rPr>
          <w:rFonts w:eastAsia="Times New Roman"/>
          <w:b w:val="0"/>
          <w:bCs w:val="0"/>
          <w:shd w:val="clear" w:color="auto" w:fill="ffffff"/>
          <w:lang w:eastAsia="ru-RU"/>
        </w:rPr>
        <w:t xml:space="preserve">ьная замена одних названий географических объектов другими, употре</w:t>
      </w:r>
      <w:r>
        <w:rPr>
          <w:rFonts w:eastAsia="Times New Roman"/>
          <w:b w:val="0"/>
          <w:bCs w:val="0"/>
          <w:shd w:val="clear" w:color="auto" w:fill="ffffff"/>
          <w:lang w:eastAsia="ru-RU"/>
        </w:rPr>
        <w:t xml:space="preserve">бление искаженных наименований не допускае</w:t>
      </w:r>
      <w:r>
        <w:rPr>
          <w:rFonts w:eastAsia="Times New Roman"/>
          <w:b w:val="0"/>
          <w:bCs w:val="0"/>
          <w:shd w:val="clear" w:color="auto" w:fill="ffffff"/>
          <w:lang w:eastAsia="ru-RU"/>
        </w:rPr>
        <w:t xml:space="preserve">тся.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2</w:t>
      </w:r>
      <w:r>
        <w:rPr>
          <w:rFonts w:eastAsia="Times New Roman"/>
          <w:b/>
          <w:bCs/>
          <w:shd w:val="clear" w:color="auto" w:fill="ffffff"/>
          <w:lang w:eastAsia="ru-RU"/>
        </w:rPr>
        <w:t xml:space="preserve">.</w:t>
      </w:r>
      <w:r>
        <w:rPr>
          <w:rFonts w:eastAsia="Times New Roman"/>
          <w:b/>
          <w:bCs/>
          <w:shd w:val="clear" w:color="auto" w:fill="ffffff"/>
          <w:lang w:eastAsia="ru-RU"/>
        </w:rPr>
        <w:t xml:space="preserve"> </w:t>
      </w:r>
      <w:r>
        <w:rPr>
          <w:rFonts w:eastAsia="Times New Roman"/>
          <w:b/>
          <w:bCs/>
          <w:shd w:val="clear" w:color="auto" w:fill="ffffff"/>
          <w:lang w:eastAsia="ru-RU"/>
        </w:rPr>
        <w:t xml:space="preserve">Олег Скуфинский продемонстрировал Геопортал СНГ на заседании Совета глав правительств Содружества.</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22 мая в столице Туркменистана Ашхабаде состоялось заседание Совета глав правительств СНГ с участием российской делегации во главе с Председателем Правительства РФ </w:t>
      </w:r>
      <w:r>
        <w:rPr>
          <w:rFonts w:eastAsia="Times New Roman"/>
          <w:b w:val="0"/>
          <w:bCs w:val="0"/>
          <w:shd w:val="clear" w:color="auto" w:fill="ffffff"/>
          <w:lang w:eastAsia="ru-RU"/>
        </w:rPr>
        <w:t xml:space="preserve">Михаилом Мишустиным</w:t>
      </w:r>
      <w:r>
        <w:rPr>
          <w:rFonts w:eastAsia="Times New Roman"/>
          <w:b w:val="0"/>
          <w:bCs w:val="0"/>
          <w:shd w:val="clear" w:color="auto" w:fill="ffffff"/>
          <w:lang w:eastAsia="ru-RU"/>
        </w:rPr>
        <w:t xml:space="preserve">. Мероприятие провёл заместитель Председателя Кабинета Министров Туркменистана </w:t>
      </w:r>
      <w:r>
        <w:rPr>
          <w:rFonts w:eastAsia="Times New Roman"/>
          <w:b w:val="0"/>
          <w:bCs w:val="0"/>
          <w:shd w:val="clear" w:color="auto" w:fill="ffffff"/>
          <w:lang w:eastAsia="ru-RU"/>
        </w:rPr>
        <w:t xml:space="preserve">Ходжамырат Гельдымурадов </w:t>
      </w:r>
      <w:r>
        <w:rPr>
          <w:rFonts w:eastAsia="Times New Roman"/>
          <w:b w:val="0"/>
          <w:bCs w:val="0"/>
          <w:shd w:val="clear" w:color="auto" w:fill="ffffff"/>
          <w:lang w:eastAsia="ru-RU"/>
        </w:rPr>
        <w:t xml:space="preserve">(в 2026 году Туркменистан</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председательствует в СНГ).</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работе Совета приняли участие главы правительств и делегаций Азербайджана, Армении, Беларуси, Казахстана, Киргизии, Таджикистана, Узбекистана. Обсуждены актуальные вопросы укрепления сотрудничества в торгово-экономической, научно-технологической и культу</w:t>
      </w:r>
      <w:r>
        <w:rPr>
          <w:rFonts w:eastAsia="Times New Roman"/>
          <w:b w:val="0"/>
          <w:bCs w:val="0"/>
          <w:shd w:val="clear" w:color="auto" w:fill="ffffff"/>
          <w:lang w:eastAsia="ru-RU"/>
        </w:rPr>
        <w:t xml:space="preserve">рно-гуманитарной областях.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узком формате заседания Совета глав правительств СНГ руководитель Росреестра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выступил с докладом об итогах реализации Межгоспрограммы сотрудничества государств-участников СНГ в сфере геодезии, картографии, пространственных данных, геоинформационных технологий, ДЗЗ, кадастрового учета и регистрации прав на недвижимое имущество на п</w:t>
      </w:r>
      <w:r>
        <w:rPr>
          <w:rFonts w:eastAsia="Times New Roman"/>
          <w:b w:val="0"/>
          <w:bCs w:val="0"/>
          <w:shd w:val="clear" w:color="auto" w:fill="ffffff"/>
          <w:lang w:eastAsia="ru-RU"/>
        </w:rPr>
        <w:t xml:space="preserve">ериод до 2026 года.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Межгоспрограмма разработана в рамках деятельности профильного Межгосударственного совета и утверждена решением глав правительств </w:t>
      </w:r>
      <w:r>
        <w:rPr>
          <w:rFonts w:eastAsia="Times New Roman"/>
          <w:b w:val="0"/>
          <w:bCs w:val="0"/>
          <w:shd w:val="clear" w:color="auto" w:fill="ffffff"/>
          <w:lang w:eastAsia="ru-RU"/>
        </w:rPr>
        <w:t xml:space="preserve">7</w:t>
      </w:r>
      <w:r>
        <w:rPr>
          <w:rFonts w:eastAsia="Times New Roman"/>
          <w:b w:val="0"/>
          <w:bCs w:val="0"/>
          <w:shd w:val="clear" w:color="auto" w:fill="ffffff"/>
          <w:lang w:eastAsia="ru-RU"/>
        </w:rPr>
        <w:t xml:space="preserve"> государств. </w:t>
      </w:r>
      <w:r>
        <w:rPr>
          <w:rFonts w:eastAsia="Times New Roman"/>
          <w:b w:val="0"/>
          <w:bCs w:val="0"/>
          <w:shd w:val="clear" w:color="auto" w:fill="ffffff"/>
          <w:lang w:eastAsia="ru-RU"/>
        </w:rPr>
        <w:t xml:space="preserve">Руководитель Службы</w:t>
      </w:r>
      <w:r>
        <w:rPr>
          <w:rFonts w:eastAsia="Times New Roman"/>
          <w:b w:val="0"/>
          <w:bCs w:val="0"/>
          <w:shd w:val="clear" w:color="auto" w:fill="ffffff"/>
          <w:lang w:eastAsia="ru-RU"/>
        </w:rPr>
        <w:t xml:space="preserve"> отдельно поблагодарил Исполнительный комитет СНГ и Генерального секретаря СНГ </w:t>
      </w:r>
      <w:r>
        <w:rPr>
          <w:rFonts w:eastAsia="Times New Roman"/>
          <w:b w:val="0"/>
          <w:bCs w:val="0"/>
          <w:shd w:val="clear" w:color="auto" w:fill="ffffff"/>
          <w:lang w:eastAsia="ru-RU"/>
        </w:rPr>
        <w:t xml:space="preserve">Сергея Лебедева</w:t>
      </w:r>
      <w:r>
        <w:rPr>
          <w:rFonts w:eastAsia="Times New Roman"/>
          <w:b w:val="0"/>
          <w:bCs w:val="0"/>
          <w:shd w:val="clear" w:color="auto" w:fill="ffffff"/>
          <w:lang w:eastAsia="ru-RU"/>
        </w:rPr>
        <w:t xml:space="preserve"> за содействие в работе профильного Межгоссовета.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Как отметил </w:t>
      </w:r>
      <w:r>
        <w:rPr>
          <w:rFonts w:eastAsia="Times New Roman"/>
          <w:b w:val="0"/>
          <w:bCs w:val="0"/>
          <w:shd w:val="clear" w:color="auto" w:fill="ffffff"/>
          <w:lang w:eastAsia="ru-RU"/>
        </w:rPr>
        <w:t xml:space="preserve">руководитель Росреестра</w:t>
      </w:r>
      <w:r>
        <w:rPr>
          <w:rFonts w:eastAsia="Times New Roman"/>
          <w:b w:val="0"/>
          <w:bCs w:val="0"/>
          <w:shd w:val="clear" w:color="auto" w:fill="ffffff"/>
          <w:lang w:eastAsia="ru-RU"/>
        </w:rPr>
        <w:t xml:space="preserve">, Межгоспрограмма состоит из трех подпрограмм. В рамках первой создан и введён в эксплуатацию </w:t>
      </w:r>
      <w:r>
        <w:rPr>
          <w:rFonts w:eastAsia="Times New Roman"/>
          <w:b w:val="0"/>
          <w:bCs w:val="0"/>
          <w:shd w:val="clear" w:color="auto" w:fill="ffffff"/>
          <w:lang w:eastAsia="ru-RU"/>
        </w:rPr>
        <w:t xml:space="preserve">Геопортал СНГ</w:t>
      </w:r>
      <w:r>
        <w:rPr>
          <w:rFonts w:eastAsia="Times New Roman"/>
          <w:b w:val="0"/>
          <w:bCs w:val="0"/>
          <w:shd w:val="clear" w:color="auto" w:fill="ffffff"/>
          <w:lang w:eastAsia="ru-RU"/>
        </w:rPr>
        <w:t xml:space="preserve">, который размещен на официальном сайте Содружества.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«Геопортал СНГ – это единая геоинформационная платформа, обеспечивающая работу с открытыми пространственными данными и содержащая сервисы для решения жизненных ситуаций людей, бизнеса и органов власти. Данные на Геопортал поступают из информационных систем</w:t>
      </w:r>
      <w:r>
        <w:rPr>
          <w:rFonts w:eastAsia="Times New Roman"/>
          <w:b w:val="0"/>
          <w:bCs w:val="0"/>
          <w:shd w:val="clear" w:color="auto" w:fill="ffffff"/>
          <w:lang w:eastAsia="ru-RU"/>
        </w:rPr>
        <w:t xml:space="preserve"> профильных ведомств стран – участниц проекта. Механизм и форматы обмена данными определяются соглашениями – в настоящее время они заключены с Беларусью, Киргизией и Таджикистаном.</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На сегодняшний день на Геопортал интегрированы электронные карты России и Республики Беларусь. Совместно с партнерами из Беларуси и Киргизии уже сформировано </w:t>
      </w:r>
      <w:r>
        <w:rPr>
          <w:rFonts w:eastAsia="Times New Roman"/>
          <w:b w:val="0"/>
          <w:bCs w:val="0"/>
          <w:shd w:val="clear" w:color="auto" w:fill="ffffff"/>
          <w:lang w:eastAsia="ru-RU"/>
        </w:rPr>
        <w:t xml:space="preserve">53</w:t>
      </w:r>
      <w:r>
        <w:rPr>
          <w:rFonts w:eastAsia="Times New Roman"/>
          <w:b w:val="0"/>
          <w:bCs w:val="0"/>
          <w:shd w:val="clear" w:color="auto" w:fill="ffffff"/>
          <w:lang w:eastAsia="ru-RU"/>
        </w:rPr>
        <w:t xml:space="preserve"> слоя, которые доступны пользователям. Это объекты культурного наследия (более </w:t>
      </w:r>
      <w:r>
        <w:rPr>
          <w:rFonts w:eastAsia="Times New Roman"/>
          <w:b w:val="0"/>
          <w:bCs w:val="0"/>
          <w:shd w:val="clear" w:color="auto" w:fill="ffffff"/>
          <w:lang w:eastAsia="ru-RU"/>
        </w:rPr>
        <w:t xml:space="preserve">23</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тыс</w:t>
      </w:r>
      <w:r>
        <w:rPr>
          <w:rFonts w:eastAsia="Times New Roman"/>
          <w:b w:val="0"/>
          <w:bCs w:val="0"/>
          <w:shd w:val="clear" w:color="auto" w:fill="ffffff"/>
          <w:lang w:eastAsia="ru-RU"/>
        </w:rPr>
        <w:t xml:space="preserve">.), инвестиционные площадки в Беларуси (более </w:t>
      </w:r>
      <w:r>
        <w:rPr>
          <w:rFonts w:eastAsia="Times New Roman"/>
          <w:b w:val="0"/>
          <w:bCs w:val="0"/>
          <w:shd w:val="clear" w:color="auto" w:fill="ffffff"/>
          <w:lang w:eastAsia="ru-RU"/>
        </w:rPr>
        <w:t xml:space="preserve">200</w:t>
      </w:r>
      <w:r>
        <w:rPr>
          <w:rFonts w:eastAsia="Times New Roman"/>
          <w:b w:val="0"/>
          <w:bCs w:val="0"/>
          <w:shd w:val="clear" w:color="auto" w:fill="ffffff"/>
          <w:lang w:eastAsia="ru-RU"/>
        </w:rPr>
        <w:t xml:space="preserve"> объектов) и Российской Федерации (более </w:t>
      </w:r>
      <w:r>
        <w:rPr>
          <w:rFonts w:eastAsia="Times New Roman"/>
          <w:b w:val="0"/>
          <w:bCs w:val="0"/>
          <w:shd w:val="clear" w:color="auto" w:fill="ffffff"/>
          <w:lang w:eastAsia="ru-RU"/>
        </w:rPr>
        <w:t xml:space="preserve">90 тыс.</w:t>
      </w:r>
      <w:r>
        <w:rPr>
          <w:rFonts w:eastAsia="Times New Roman"/>
          <w:b w:val="0"/>
          <w:bCs w:val="0"/>
          <w:shd w:val="clear" w:color="auto" w:fill="ffffff"/>
          <w:lang w:eastAsia="ru-RU"/>
        </w:rPr>
        <w:t xml:space="preserve"> земельных участков и объектов). По сути, размещается открытая информация, которая продвигает возможности стран на пространстве СНГ и на международном уровне», - </w:t>
      </w:r>
      <w:r>
        <w:rPr>
          <w:rFonts w:eastAsia="Times New Roman"/>
          <w:b w:val="0"/>
          <w:bCs w:val="0"/>
          <w:shd w:val="clear" w:color="auto" w:fill="ffffff"/>
          <w:lang w:eastAsia="ru-RU"/>
        </w:rPr>
        <w:t xml:space="preserve">отметил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ходе выступления руководитель ведомства продемонстрировал участникам заседания работу Геопортала и его функционал.</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«Важно ускорить заключение межведомственных соглашений, обеспечить дальнейшее внедрение и наполнение Геопортала во всех странах Содружества. По сути, мы вместе создаем Цифровой атлас СНГ. Также предлагаю утвердить новую отраслевую межгоспрограмму на период</w:t>
      </w:r>
      <w:r>
        <w:rPr>
          <w:rFonts w:eastAsia="Times New Roman"/>
          <w:b w:val="0"/>
          <w:bCs w:val="0"/>
          <w:shd w:val="clear" w:color="auto" w:fill="ffffff"/>
          <w:lang w:eastAsia="ru-RU"/>
        </w:rPr>
        <w:t xml:space="preserve"> до 2030 и на перспективу до 2036 года»,</w:t>
      </w:r>
      <w:r>
        <w:rPr>
          <w:rFonts w:eastAsia="Times New Roman"/>
          <w:b w:val="0"/>
          <w:bCs w:val="0"/>
          <w:shd w:val="clear" w:color="auto" w:fill="ffffff"/>
          <w:lang w:eastAsia="ru-RU"/>
        </w:rPr>
        <w:t xml:space="preserve"> - сказал </w:t>
      </w:r>
      <w:r>
        <w:rPr>
          <w:rFonts w:eastAsia="Times New Roman"/>
          <w:b w:val="0"/>
          <w:bCs w:val="0"/>
          <w:shd w:val="clear" w:color="auto" w:fill="ffffff"/>
          <w:lang w:eastAsia="ru-RU"/>
        </w:rPr>
        <w:t xml:space="preserve">руководитель Службы</w:t>
      </w:r>
      <w:r>
        <w:rPr>
          <w:rFonts w:eastAsia="Times New Roman"/>
          <w:b w:val="0"/>
          <w:bCs w:val="0"/>
          <w:shd w:val="clear" w:color="auto" w:fill="ffffff"/>
          <w:lang w:eastAsia="ru-RU"/>
        </w:rPr>
        <w:t xml:space="preserve">, отметив</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необходимость проработки вопроса экстерриториального оказания услуг с использованием Геопортала.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основе работы портала лежат национальные геоинформационные системы. По поручению Председателя Правительства Михаила Мишустина с 2024 года введена в эксплуатацию Национальная система пространственных данных. На сегодня в НСПД интегрированы сведения из </w:t>
      </w:r>
      <w:r>
        <w:rPr>
          <w:rFonts w:eastAsia="Times New Roman"/>
          <w:b w:val="0"/>
          <w:bCs w:val="0"/>
          <w:shd w:val="clear" w:color="auto" w:fill="ffffff"/>
          <w:lang w:eastAsia="ru-RU"/>
        </w:rPr>
        <w:t xml:space="preserve">135</w:t>
      </w:r>
      <w:r>
        <w:rPr>
          <w:rFonts w:eastAsia="Times New Roman"/>
          <w:b w:val="0"/>
          <w:bCs w:val="0"/>
          <w:shd w:val="clear" w:color="auto" w:fill="ffffff"/>
          <w:lang w:eastAsia="ru-RU"/>
        </w:rPr>
        <w:t xml:space="preserve"> информационных систем, более </w:t>
      </w:r>
      <w:r>
        <w:rPr>
          <w:rFonts w:eastAsia="Times New Roman"/>
          <w:b w:val="0"/>
          <w:bCs w:val="0"/>
          <w:shd w:val="clear" w:color="auto" w:fill="ffffff"/>
          <w:lang w:eastAsia="ru-RU"/>
        </w:rPr>
        <w:t xml:space="preserve">5</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тыс.</w:t>
      </w:r>
      <w:r>
        <w:rPr>
          <w:rFonts w:eastAsia="Times New Roman"/>
          <w:b w:val="0"/>
          <w:bCs w:val="0"/>
          <w:shd w:val="clear" w:color="auto" w:fill="ffffff"/>
          <w:lang w:eastAsia="ru-RU"/>
        </w:rPr>
        <w:t xml:space="preserve"> слоев открытых данных. За последние два года число пользователей платформы выросло в </w:t>
      </w:r>
      <w:r>
        <w:rPr>
          <w:rFonts w:eastAsia="Times New Roman"/>
          <w:b w:val="0"/>
          <w:bCs w:val="0"/>
          <w:shd w:val="clear" w:color="auto" w:fill="ffffff"/>
          <w:lang w:eastAsia="ru-RU"/>
        </w:rPr>
        <w:t xml:space="preserve">30 </w:t>
      </w:r>
      <w:r>
        <w:rPr>
          <w:rFonts w:eastAsia="Times New Roman"/>
          <w:b w:val="0"/>
          <w:bCs w:val="0"/>
          <w:shd w:val="clear" w:color="auto" w:fill="ffffff"/>
          <w:lang w:eastAsia="ru-RU"/>
        </w:rPr>
        <w:t xml:space="preserve">раз - со </w:t>
      </w:r>
      <w:r>
        <w:rPr>
          <w:rFonts w:eastAsia="Times New Roman"/>
          <w:b w:val="0"/>
          <w:bCs w:val="0"/>
          <w:shd w:val="clear" w:color="auto" w:fill="ffffff"/>
          <w:lang w:eastAsia="ru-RU"/>
        </w:rPr>
        <w:t xml:space="preserve">180 тыс.</w:t>
      </w:r>
      <w:r>
        <w:rPr>
          <w:rFonts w:eastAsia="Times New Roman"/>
          <w:b w:val="0"/>
          <w:bCs w:val="0"/>
          <w:shd w:val="clear" w:color="auto" w:fill="ffffff"/>
          <w:lang w:eastAsia="ru-RU"/>
        </w:rPr>
        <w:t xml:space="preserve"> до </w:t>
      </w:r>
      <w:r>
        <w:rPr>
          <w:rFonts w:eastAsia="Times New Roman"/>
          <w:b w:val="0"/>
          <w:bCs w:val="0"/>
          <w:shd w:val="clear" w:color="auto" w:fill="ffffff"/>
          <w:lang w:eastAsia="ru-RU"/>
        </w:rPr>
        <w:t xml:space="preserve">5,5 млн</w:t>
      </w:r>
      <w:r>
        <w:rPr>
          <w:rFonts w:eastAsia="Times New Roman"/>
          <w:b w:val="0"/>
          <w:bCs w:val="0"/>
          <w:shd w:val="clear" w:color="auto" w:fill="ffffff"/>
          <w:lang w:eastAsia="ru-RU"/>
        </w:rPr>
        <w:t xml:space="preserve"> в месяц.</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ведомства</w:t>
      </w:r>
      <w:r>
        <w:rPr>
          <w:rFonts w:eastAsia="Times New Roman"/>
          <w:b w:val="0"/>
          <w:bCs w:val="0"/>
          <w:shd w:val="clear" w:color="auto" w:fill="ffffff"/>
          <w:lang w:eastAsia="ru-RU"/>
        </w:rPr>
        <w:t xml:space="preserve"> также сообщил, что в рамках второй подпрограммы организовано научно-техническое сотрудничество по направлениям «Инфраструктура пространственных данных», «Геодезия» и «Картография».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рамках третьей подпрограммы обеспечено развитие системы образования и кадрового потенциала СНГ. В частности, на базе Московского государственного университета геодезии и картографии (МИИГАиК) и Корпоративного университета ППК «Роскадастр» прошли обучение</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689</w:t>
      </w:r>
      <w:r>
        <w:rPr>
          <w:rFonts w:eastAsia="Times New Roman"/>
          <w:b w:val="0"/>
          <w:bCs w:val="0"/>
          <w:shd w:val="clear" w:color="auto" w:fill="ffffff"/>
          <w:lang w:eastAsia="ru-RU"/>
        </w:rPr>
        <w:t xml:space="preserve"> специалистов из Армении, Беларуси, Казахстана, Киргизии, Таджикистана и Узбекистана.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завершение выступления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поблагодарил руководителей картографо-геодезических ведомств стран Содружества за совместную работу, а также пригласил представителей профильных компаний и бизнеса принять очное участие в Первой международной научно-технической конференции и выставке госу</w:t>
      </w:r>
      <w:r>
        <w:rPr>
          <w:rFonts w:eastAsia="Times New Roman"/>
          <w:b w:val="0"/>
          <w:bCs w:val="0"/>
          <w:shd w:val="clear" w:color="auto" w:fill="ffffff"/>
          <w:lang w:eastAsia="ru-RU"/>
        </w:rPr>
        <w:t xml:space="preserve">дарств-участников СНГ в сфере картографии, кадастра и геоинформационных технологий, которые состоятся </w:t>
      </w:r>
      <w:r>
        <w:rPr>
          <w:rFonts w:eastAsia="Times New Roman"/>
          <w:b w:val="0"/>
          <w:bCs w:val="0"/>
          <w:shd w:val="clear" w:color="auto" w:fill="ffffff"/>
          <w:lang w:eastAsia="ru-RU"/>
        </w:rPr>
        <w:t xml:space="preserve">16-18</w:t>
      </w:r>
      <w:r>
        <w:rPr>
          <w:rFonts w:eastAsia="Times New Roman"/>
          <w:b w:val="0"/>
          <w:bCs w:val="0"/>
          <w:shd w:val="clear" w:color="auto" w:fill="ffffff"/>
          <w:lang w:eastAsia="ru-RU"/>
        </w:rPr>
        <w:t xml:space="preserve"> сентября этого года в Москве.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итогам рассмотрения отчета о реализации Межгоспрограммы главы правительств СНГ подписали </w:t>
      </w:r>
      <w:r>
        <w:rPr>
          <w:rFonts w:eastAsia="Times New Roman"/>
          <w:b w:val="0"/>
          <w:bCs w:val="0"/>
          <w:shd w:val="clear" w:color="auto" w:fill="ffffff"/>
          <w:lang w:eastAsia="ru-RU"/>
        </w:rPr>
        <w:t xml:space="preserve">Решение</w:t>
      </w:r>
      <w:r>
        <w:rPr>
          <w:rFonts w:eastAsia="Times New Roman"/>
          <w:b w:val="0"/>
          <w:bCs w:val="0"/>
          <w:shd w:val="clear" w:color="auto" w:fill="ffffff"/>
          <w:lang w:eastAsia="ru-RU"/>
        </w:rPr>
        <w:t xml:space="preserve">, согласно которому заинтересованным органам отраслевого сотрудничества СНГ рекомендовано рассмотреть вопрос о возможности использования Геопортала в рамках своей деятельности. Кроме того, картографо-геодезическим службам стран Содружества поручено в срок </w:t>
      </w:r>
      <w:r>
        <w:rPr>
          <w:rFonts w:eastAsia="Times New Roman"/>
          <w:b w:val="0"/>
          <w:bCs w:val="0"/>
          <w:shd w:val="clear" w:color="auto" w:fill="ffffff"/>
          <w:lang w:eastAsia="ru-RU"/>
        </w:rPr>
        <w:t xml:space="preserve">до 31 декабря 2027 года предоставить оператору информационной системы (ППК «Роскадастр») наборы пространственных данных открытого пользования для дальнейшего наполнения Геопортала.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3. </w:t>
      </w:r>
      <w:r>
        <w:rPr>
          <w:rFonts w:eastAsia="Times New Roman"/>
          <w:b/>
          <w:bCs/>
          <w:shd w:val="clear" w:color="auto" w:fill="ffffff"/>
          <w:lang w:eastAsia="ru-RU"/>
        </w:rPr>
        <w:t xml:space="preserve">Людмила Лилина на форуме «Мастор» рассказала о защите данных и предотвращении мошенничества.</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городе Саранске Республики Мордовия проходит IV Ежегодный межрегиональный земельный форум «Мастор». Ключевым мероприятием форума стала пленарная сессия «Устойчивое развитие земельно‑имущественной сферы: баланс между открытостью, цифровизацией и защитой и</w:t>
      </w:r>
      <w:r>
        <w:rPr>
          <w:rFonts w:eastAsia="Times New Roman"/>
          <w:b w:val="0"/>
          <w:bCs w:val="0"/>
          <w:shd w:val="clear" w:color="auto" w:fill="ffffff"/>
          <w:lang w:eastAsia="ru-RU"/>
        </w:rPr>
        <w:t xml:space="preserve">нформации», в которой приняла участие заместитель руководителя Росреестра </w:t>
      </w:r>
      <w:r>
        <w:rPr>
          <w:rFonts w:eastAsia="Times New Roman"/>
          <w:b w:val="0"/>
          <w:bCs w:val="0"/>
          <w:shd w:val="clear" w:color="auto" w:fill="ffffff"/>
          <w:lang w:eastAsia="ru-RU"/>
        </w:rPr>
        <w:t xml:space="preserve">Людмила Лилина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Модератором выступил судья Экономического суда СНГ, декан Высшей школы правоведения Президентской академии РАНХиГС, член Общественного совета при Росреестре </w:t>
      </w:r>
      <w:r>
        <w:rPr>
          <w:rFonts w:eastAsia="Times New Roman"/>
          <w:b w:val="0"/>
          <w:bCs w:val="0"/>
          <w:shd w:val="clear" w:color="auto" w:fill="ffffff"/>
          <w:lang w:eastAsia="ru-RU"/>
        </w:rPr>
        <w:t xml:space="preserve">Олег Зайцев</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 имени главы Мордовии </w:t>
      </w:r>
      <w:r>
        <w:rPr>
          <w:rFonts w:eastAsia="Times New Roman"/>
          <w:b w:val="0"/>
          <w:bCs w:val="0"/>
          <w:shd w:val="clear" w:color="auto" w:fill="ffffff"/>
          <w:lang w:eastAsia="ru-RU"/>
        </w:rPr>
        <w:t xml:space="preserve">Артема Здунова</w:t>
      </w:r>
      <w:r>
        <w:rPr>
          <w:rFonts w:eastAsia="Times New Roman"/>
          <w:b w:val="0"/>
          <w:bCs w:val="0"/>
          <w:shd w:val="clear" w:color="auto" w:fill="ffffff"/>
          <w:lang w:eastAsia="ru-RU"/>
        </w:rPr>
        <w:t xml:space="preserve"> участников пленарной сессии поприветствовала первый заместитель председателя Правительства региона </w:t>
      </w:r>
      <w:r>
        <w:rPr>
          <w:rFonts w:eastAsia="Times New Roman"/>
          <w:b w:val="0"/>
          <w:bCs w:val="0"/>
          <w:shd w:val="clear" w:color="auto" w:fill="ffffff"/>
          <w:lang w:eastAsia="ru-RU"/>
        </w:rPr>
        <w:t xml:space="preserve">Наталья Таркаева</w:t>
      </w:r>
      <w:r>
        <w:rPr>
          <w:rFonts w:eastAsia="Times New Roman"/>
          <w:b w:val="0"/>
          <w:bCs w:val="0"/>
          <w:shd w:val="clear" w:color="auto" w:fill="ffffff"/>
          <w:lang w:eastAsia="ru-RU"/>
        </w:rPr>
        <w:t xml:space="preserve">. Губернатор отметил, что республика традиционно выступает площадкой для диалога и сотрудничества экспертов земельно-имущественной сферы и выразил уверенность, что результаты форума «Мастор» найдут практическое применение и будут способствовать развитию ре</w:t>
      </w:r>
      <w:r>
        <w:rPr>
          <w:rFonts w:eastAsia="Times New Roman"/>
          <w:b w:val="0"/>
          <w:bCs w:val="0"/>
          <w:shd w:val="clear" w:color="auto" w:fill="ffffff"/>
          <w:lang w:eastAsia="ru-RU"/>
        </w:rPr>
        <w:t xml:space="preserve">гиона и всей страны.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Людмила Лилина</w:t>
      </w:r>
      <w:r>
        <w:rPr>
          <w:rFonts w:eastAsia="Times New Roman"/>
          <w:b w:val="0"/>
          <w:bCs w:val="0"/>
          <w:shd w:val="clear" w:color="auto" w:fill="ffffff"/>
          <w:lang w:eastAsia="ru-RU"/>
        </w:rPr>
        <w:t xml:space="preserve"> рассказала о расширении цифровых возможностей для получателей услуг Росреестра, об обеспечении защиты данных Единого государственного реестра недвижимости (ЕГРН) и мерах по предотвращению мошенничества с электронными сделками.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ее словам, чтобы экономика работала, а права граждан были защищены, каждый квадратный метр земли и каждый объект недвижимости должны быть учтены и зарегистрированы. Сегодня Единый государственный реестр недвижимости – одна из главных опор экономики. В н</w:t>
      </w:r>
      <w:r>
        <w:rPr>
          <w:rFonts w:eastAsia="Times New Roman"/>
          <w:b w:val="0"/>
          <w:bCs w:val="0"/>
          <w:shd w:val="clear" w:color="auto" w:fill="ffffff"/>
          <w:lang w:eastAsia="ru-RU"/>
        </w:rPr>
        <w:t xml:space="preserve">ем уже свыше </w:t>
      </w:r>
      <w:r>
        <w:rPr>
          <w:rFonts w:eastAsia="Times New Roman"/>
          <w:b w:val="0"/>
          <w:bCs w:val="0"/>
          <w:shd w:val="clear" w:color="auto" w:fill="ffffff"/>
          <w:lang w:eastAsia="ru-RU"/>
        </w:rPr>
        <w:t xml:space="preserve">172</w:t>
      </w:r>
      <w:r>
        <w:rPr>
          <w:rFonts w:eastAsia="Times New Roman"/>
          <w:b w:val="0"/>
          <w:bCs w:val="0"/>
          <w:shd w:val="clear" w:color="auto" w:fill="ffffff"/>
          <w:lang w:eastAsia="ru-RU"/>
        </w:rPr>
        <w:t xml:space="preserve"> миллионов объектов.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Сегодня подать документы или запросить сведения из ЕГРН можно не только через личный кабинет на сайте Росреестра и МФЦ, но и через портал Госуслуг, в системе межведомственного электронного взаимодействия (СМЭВ), на платформе НСПД и веб-сервисах ведомства. </w:t>
      </w:r>
      <w:r>
        <w:rPr>
          <w:rFonts w:eastAsia="Times New Roman"/>
          <w:b w:val="0"/>
          <w:bCs w:val="0"/>
          <w:shd w:val="clear" w:color="auto" w:fill="ffffff"/>
          <w:lang w:eastAsia="ru-RU"/>
        </w:rPr>
        <w:t xml:space="preserve">В совокупности пользователи всех этих сервисов исчисляются в </w:t>
      </w:r>
      <w:r>
        <w:rPr>
          <w:rFonts w:eastAsia="Times New Roman"/>
          <w:b w:val="0"/>
          <w:bCs w:val="0"/>
          <w:shd w:val="clear" w:color="auto" w:fill="ffffff"/>
          <w:lang w:eastAsia="ru-RU"/>
        </w:rPr>
        <w:t xml:space="preserve">сотнях миллионов</w:t>
      </w:r>
      <w:r>
        <w:rPr>
          <w:rFonts w:eastAsia="Times New Roman"/>
          <w:b w:val="0"/>
          <w:bCs w:val="0"/>
          <w:shd w:val="clear" w:color="auto" w:fill="ffffff"/>
          <w:lang w:eastAsia="ru-RU"/>
        </w:rPr>
        <w:t xml:space="preserve">, а предоставленные сведения по запросам превысили </w:t>
      </w:r>
      <w:r>
        <w:rPr>
          <w:rFonts w:eastAsia="Times New Roman"/>
          <w:b w:val="0"/>
          <w:bCs w:val="0"/>
          <w:shd w:val="clear" w:color="auto" w:fill="ffffff"/>
          <w:lang w:eastAsia="ru-RU"/>
        </w:rPr>
        <w:t xml:space="preserve">1 млрд.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 таких колоссальных показателях ЕГРН одновременно сочетает в себе принципы открытости данных об объектах с защитой персональных данных правообладателей. При многообразии открытой информации на платформе НСПД, официальном сайте Росреестра, публичной кад</w:t>
      </w:r>
      <w:r>
        <w:rPr>
          <w:rFonts w:eastAsia="Times New Roman"/>
          <w:b w:val="0"/>
          <w:bCs w:val="0"/>
          <w:shd w:val="clear" w:color="auto" w:fill="ffffff"/>
          <w:lang w:eastAsia="ru-RU"/>
        </w:rPr>
        <w:t xml:space="preserve">астровой карте, в публичной декларации обеспечен баланс защищенности такой информации. В частности, ФГИС ЕГРН размещена в территориально распределенных центрах обработки данных, предусмотрено многоуровневое резервное копирование информации на всех уровнях,</w:t>
      </w:r>
      <w:r>
        <w:rPr>
          <w:rFonts w:eastAsia="Times New Roman"/>
          <w:b w:val="0"/>
          <w:bCs w:val="0"/>
          <w:shd w:val="clear" w:color="auto" w:fill="ffffff"/>
          <w:lang w:eastAsia="ru-RU"/>
        </w:rPr>
        <w:t xml:space="preserve"> доступ сотрудников к системе строго регламентирован, электронные сделки должны быть подписаны УКЭП. Регистрация сделок без личного участия невозможна при наличии такого запрета, также обеспечена защита персональных данных от третьих лиц»,</w:t>
      </w:r>
      <w:r>
        <w:rPr>
          <w:rFonts w:eastAsia="Times New Roman"/>
          <w:b w:val="0"/>
          <w:bCs w:val="0"/>
          <w:shd w:val="clear" w:color="auto" w:fill="ffffff"/>
          <w:lang w:eastAsia="ru-RU"/>
        </w:rPr>
        <w:t xml:space="preserve"> - сообщила </w:t>
      </w:r>
      <w:r>
        <w:rPr>
          <w:rFonts w:eastAsia="Times New Roman"/>
          <w:b w:val="0"/>
          <w:bCs w:val="0"/>
          <w:shd w:val="clear" w:color="auto" w:fill="ffffff"/>
          <w:lang w:eastAsia="ru-RU"/>
        </w:rPr>
        <w:t xml:space="preserve">заместитель руководителя ведомства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Она подчеркнула, что важным инструментом защиты данных и предотвращения мошенничества является удостоверение электронных сделок с недвижимостью. Это комплекс мер, направленных на подтверждение личности участников, целостность документов и контроль за проце</w:t>
      </w:r>
      <w:r>
        <w:rPr>
          <w:rFonts w:eastAsia="Times New Roman"/>
          <w:b w:val="0"/>
          <w:bCs w:val="0"/>
          <w:shd w:val="clear" w:color="auto" w:fill="ffffff"/>
          <w:lang w:eastAsia="ru-RU"/>
        </w:rPr>
        <w:t xml:space="preserve">ссом регистрации прав.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частности, личность сегодня может быть удостоверена двумя способами - это простая электронная подпись и усиленная квалифицированная электронная подпись (УКЭП). При помощи простой электронной подписи можно получить сведения из ЕГРН, внести запись о невозм</w:t>
      </w:r>
      <w:r>
        <w:rPr>
          <w:rFonts w:eastAsia="Times New Roman"/>
          <w:b w:val="0"/>
          <w:bCs w:val="0"/>
          <w:shd w:val="clear" w:color="auto" w:fill="ffffff"/>
          <w:lang w:eastAsia="ru-RU"/>
        </w:rPr>
        <w:t xml:space="preserve">ожности регистрации без личного участия. Посредством УКЭП совершаются все сделки в электронном виде. Проведённая Росреестром регистрация или кадастровый учёт также удостоверяется УКЭП государственного регистратора. Для подписания можно использовать сервис </w:t>
      </w:r>
      <w:r>
        <w:rPr>
          <w:rFonts w:eastAsia="Times New Roman"/>
          <w:b w:val="0"/>
          <w:bCs w:val="0"/>
          <w:shd w:val="clear" w:color="auto" w:fill="ffffff"/>
          <w:lang w:eastAsia="ru-RU"/>
        </w:rPr>
        <w:t xml:space="preserve">Госключ. Все обращения, подписанные через Госключ, могут быть обработаны Росреестром вне зависимости от типа сертификата.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w:t>
      </w:r>
      <w:r>
        <w:rPr>
          <w:rFonts w:eastAsia="Times New Roman"/>
          <w:b w:val="0"/>
          <w:bCs w:val="0"/>
          <w:shd w:val="clear" w:color="auto" w:fill="ffffff"/>
          <w:lang w:eastAsia="ru-RU"/>
        </w:rPr>
        <w:t xml:space="preserve">Людмила Лилина</w:t>
      </w:r>
      <w:r>
        <w:rPr>
          <w:rFonts w:eastAsia="Times New Roman"/>
          <w:b w:val="0"/>
          <w:bCs w:val="0"/>
          <w:shd w:val="clear" w:color="auto" w:fill="ffffff"/>
          <w:lang w:eastAsia="ru-RU"/>
        </w:rPr>
        <w:t xml:space="preserve"> представила информацию о сервисах НСПД - ими активно пользуются и граждане, и представители бизнес-сообщества. Сейчас функционирует </w:t>
      </w:r>
      <w:r>
        <w:rPr>
          <w:rFonts w:eastAsia="Times New Roman"/>
          <w:b w:val="0"/>
          <w:bCs w:val="0"/>
          <w:shd w:val="clear" w:color="auto" w:fill="ffffff"/>
          <w:lang w:eastAsia="ru-RU"/>
        </w:rPr>
        <w:t xml:space="preserve">26 </w:t>
      </w:r>
      <w:r>
        <w:rPr>
          <w:rFonts w:eastAsia="Times New Roman"/>
          <w:b w:val="0"/>
          <w:bCs w:val="0"/>
          <w:shd w:val="clear" w:color="auto" w:fill="ffffff"/>
          <w:lang w:eastAsia="ru-RU"/>
        </w:rPr>
        <w:t xml:space="preserve">полезных сервисов.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«Это «Публичная кадастровая карта», которая позволяет искать объекты недвижимости по кадастровому номеру, адресу или клику на карте. «Земля просто» помогает найти нужный участок за </w:t>
      </w:r>
      <w:r>
        <w:rPr>
          <w:rFonts w:eastAsia="Times New Roman"/>
          <w:b w:val="0"/>
          <w:bCs w:val="0"/>
          <w:shd w:val="clear" w:color="auto" w:fill="ffffff"/>
          <w:lang w:eastAsia="ru-RU"/>
        </w:rPr>
        <w:t xml:space="preserve">2 минуты</w:t>
      </w:r>
      <w:r>
        <w:rPr>
          <w:rFonts w:eastAsia="Times New Roman"/>
          <w:b w:val="0"/>
          <w:bCs w:val="0"/>
          <w:shd w:val="clear" w:color="auto" w:fill="ffffff"/>
          <w:lang w:eastAsia="ru-RU"/>
        </w:rPr>
        <w:t xml:space="preserve">, сформировать схему его расположения на кадастровом плане и подготовить документы для подачи заявления. Сегодня по этому проекту сформировано более </w:t>
      </w:r>
      <w:r>
        <w:rPr>
          <w:rFonts w:eastAsia="Times New Roman"/>
          <w:b w:val="0"/>
          <w:bCs w:val="0"/>
          <w:shd w:val="clear" w:color="auto" w:fill="ffffff"/>
          <w:lang w:eastAsia="ru-RU"/>
        </w:rPr>
        <w:t xml:space="preserve">970 тыс.</w:t>
      </w:r>
      <w:r>
        <w:rPr>
          <w:rFonts w:eastAsia="Times New Roman"/>
          <w:b w:val="0"/>
          <w:bCs w:val="0"/>
          <w:shd w:val="clear" w:color="auto" w:fill="ffffff"/>
          <w:lang w:eastAsia="ru-RU"/>
        </w:rPr>
        <w:t xml:space="preserve"> схем размещения участков. В рамках сервиса «Земля для стройки» выявлено около </w:t>
      </w:r>
      <w:r>
        <w:rPr>
          <w:rFonts w:eastAsia="Times New Roman"/>
          <w:b w:val="0"/>
          <w:bCs w:val="0"/>
          <w:shd w:val="clear" w:color="auto" w:fill="ffffff"/>
          <w:lang w:eastAsia="ru-RU"/>
        </w:rPr>
        <w:t xml:space="preserve">230 тыс</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га </w:t>
      </w:r>
      <w:r>
        <w:rPr>
          <w:rFonts w:eastAsia="Times New Roman"/>
          <w:b w:val="0"/>
          <w:bCs w:val="0"/>
          <w:shd w:val="clear" w:color="auto" w:fill="ffffff"/>
          <w:lang w:eastAsia="ru-RU"/>
        </w:rPr>
        <w:t xml:space="preserve">для жилищного строительства. «Градостроительная проработка онлайн» проверяет ограничения, режимы использования земли, зоны с особыми условиями, пересечение границ, градостроительную документацию. С помощью этого инструмента сформировано уже около </w:t>
      </w:r>
      <w:r>
        <w:rPr>
          <w:rFonts w:eastAsia="Times New Roman"/>
          <w:b w:val="0"/>
          <w:bCs w:val="0"/>
          <w:shd w:val="clear" w:color="auto" w:fill="ffffff"/>
          <w:lang w:eastAsia="ru-RU"/>
        </w:rPr>
        <w:t xml:space="preserve">1 млн</w:t>
      </w:r>
      <w:r>
        <w:rPr>
          <w:rFonts w:eastAsia="Times New Roman"/>
          <w:b w:val="0"/>
          <w:bCs w:val="0"/>
          <w:shd w:val="clear" w:color="auto" w:fill="ffffff"/>
          <w:lang w:eastAsia="ru-RU"/>
        </w:rPr>
        <w:t xml:space="preserve"> материалов», - </w:t>
      </w:r>
      <w:r>
        <w:rPr>
          <w:rFonts w:eastAsia="Times New Roman"/>
          <w:b w:val="0"/>
          <w:bCs w:val="0"/>
          <w:shd w:val="clear" w:color="auto" w:fill="ffffff"/>
          <w:lang w:eastAsia="ru-RU"/>
        </w:rPr>
        <w:t xml:space="preserve">сообщила </w:t>
      </w:r>
      <w:r>
        <w:rPr>
          <w:rFonts w:eastAsia="Times New Roman"/>
          <w:b w:val="0"/>
          <w:bCs w:val="0"/>
          <w:shd w:val="clear" w:color="auto" w:fill="ffffff"/>
          <w:lang w:eastAsia="ru-RU"/>
        </w:rPr>
        <w:t xml:space="preserve">заместитель руководителя Росреестра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Министр земельных и имущественных отношений Республики Мордовия </w:t>
      </w:r>
      <w:r>
        <w:rPr>
          <w:rFonts w:eastAsia="Times New Roman"/>
          <w:b w:val="0"/>
          <w:bCs w:val="0"/>
          <w:shd w:val="clear" w:color="auto" w:fill="ffffff"/>
          <w:lang w:eastAsia="ru-RU"/>
        </w:rPr>
        <w:t xml:space="preserve">Андрей Мищенко</w:t>
      </w:r>
      <w:r>
        <w:rPr>
          <w:rFonts w:eastAsia="Times New Roman"/>
          <w:b w:val="0"/>
          <w:bCs w:val="0"/>
          <w:shd w:val="clear" w:color="auto" w:fill="ffffff"/>
          <w:lang w:eastAsia="ru-RU"/>
        </w:rPr>
        <w:t xml:space="preserve"> отметил, что земельно-имущественные отношения лежат в основе экономики, права и повседневной жизни, поскольку земля и недвижимость – это фундаментальные и невосполнимые ресурсы.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на пленарной сессии выступил председатель Международной ассоциации развития территорий </w:t>
      </w:r>
      <w:r>
        <w:rPr>
          <w:rFonts w:eastAsia="Times New Roman"/>
          <w:b w:val="0"/>
          <w:bCs w:val="0"/>
          <w:shd w:val="clear" w:color="auto" w:fill="ffffff"/>
          <w:lang w:eastAsia="ru-RU"/>
        </w:rPr>
        <w:t xml:space="preserve">Василь Мазитов</w:t>
      </w:r>
      <w:r>
        <w:rPr>
          <w:rFonts w:eastAsia="Times New Roman"/>
          <w:b w:val="0"/>
          <w:bCs w:val="0"/>
          <w:shd w:val="clear" w:color="auto" w:fill="ffffff"/>
          <w:lang w:eastAsia="ru-RU"/>
        </w:rPr>
        <w:t xml:space="preserve">. Также участников форума приветствовали зарубежные гости.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завершение мероприятия </w:t>
      </w:r>
      <w:r>
        <w:rPr>
          <w:rFonts w:eastAsia="Times New Roman"/>
          <w:b w:val="0"/>
          <w:bCs w:val="0"/>
          <w:shd w:val="clear" w:color="auto" w:fill="ffffff"/>
          <w:lang w:eastAsia="ru-RU"/>
        </w:rPr>
        <w:t xml:space="preserve">Людмила Лилина</w:t>
      </w:r>
      <w:r>
        <w:rPr>
          <w:rFonts w:eastAsia="Times New Roman"/>
          <w:b w:val="0"/>
          <w:bCs w:val="0"/>
          <w:shd w:val="clear" w:color="auto" w:fill="ffffff"/>
          <w:lang w:eastAsia="ru-RU"/>
        </w:rPr>
        <w:t xml:space="preserve"> и другие спикеры приняли участие в пресс-подходе и ответили на вопросы журналистов.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b/>
          <w:bCs/>
          <w:color w:val="000000" w:themeColor="text1"/>
          <w14:ligatures w14:val="none"/>
        </w:rPr>
        <w:t xml:space="preserve">4.</w:t>
      </w:r>
      <w:r>
        <w:rPr>
          <w:b/>
          <w:bCs/>
          <w:highlight w:val="none"/>
        </w:rPr>
        <w:t xml:space="preserve"> </w:t>
      </w:r>
      <w:r>
        <w:rPr>
          <w:rFonts w:eastAsia="Times New Roman"/>
          <w:b/>
          <w:bCs/>
          <w:shd w:val="clear" w:color="auto" w:fill="ffffff"/>
          <w:lang w:eastAsia="ru-RU"/>
        </w:rPr>
        <w:t xml:space="preserve">Росреестр на форуме «Мастор» рассказал о цифровых инструментах, направленных на повышение капитализации территории страны.</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рамках деловой программы IV Ежегодного межрегионального земельного форума «Мастор» в Саранске (Республика Мордовия) состоялись тематические секции, в которых приняли участие представители Росреестра. Одним из приоритетных вопросов, вынесенных на экспертн</w:t>
      </w:r>
      <w:r>
        <w:rPr>
          <w:rFonts w:eastAsia="Times New Roman"/>
          <w:b w:val="0"/>
          <w:bCs w:val="0"/>
          <w:shd w:val="clear" w:color="auto" w:fill="ffffff"/>
          <w:lang w:eastAsia="ru-RU"/>
        </w:rPr>
        <w:t xml:space="preserve">ое обсуждение, стали подходы и инструменты, которые реализует и предлагает к использованию Росреестр для роста капитализации территории страны.</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Начальник Управления развития Национальной системы пространственных данных Росреестра </w:t>
      </w:r>
      <w:r>
        <w:rPr>
          <w:rFonts w:eastAsia="Times New Roman"/>
          <w:b w:val="0"/>
          <w:bCs w:val="0"/>
          <w:shd w:val="clear" w:color="auto" w:fill="ffffff"/>
          <w:lang w:eastAsia="ru-RU"/>
        </w:rPr>
        <w:t xml:space="preserve">Сергей Щеглов</w:t>
      </w:r>
      <w:r>
        <w:rPr>
          <w:rFonts w:eastAsia="Times New Roman"/>
          <w:b w:val="0"/>
          <w:bCs w:val="0"/>
          <w:shd w:val="clear" w:color="auto" w:fill="ffffff"/>
          <w:lang w:eastAsia="ru-RU"/>
        </w:rPr>
        <w:t xml:space="preserve"> на сессии «Цифровая реальность: Опыт и инновации» рассказал о флагманском проекте Росреестра - Национальной системе пространственных данных, дающей федеральным и региональным органам власти целый ряд цифровых инструментов для расчета и мониторинга текущей</w:t>
      </w:r>
      <w:r>
        <w:rPr>
          <w:rFonts w:eastAsia="Times New Roman"/>
          <w:b w:val="0"/>
          <w:bCs w:val="0"/>
          <w:shd w:val="clear" w:color="auto" w:fill="ffffff"/>
          <w:lang w:eastAsia="ru-RU"/>
        </w:rPr>
        <w:t xml:space="preserve"> капитализации региона, а также вовлечения земли и недвижимости в оборот, повышения эффективности работы в земельно-имущественной сфере.</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Он подчеркнул, что Президентом РФ и Правительством перед Росреестром поставлены конкретные задачи в сфере земли и недвижимости, и одной из ключевых сегодня является дальнейшее повышение капитализации. В том числе к 2030 году необходимо выявить не менее </w:t>
      </w:r>
      <w:r>
        <w:rPr>
          <w:rFonts w:eastAsia="Times New Roman"/>
          <w:b w:val="0"/>
          <w:bCs w:val="0"/>
          <w:shd w:val="clear" w:color="auto" w:fill="ffffff"/>
          <w:lang w:eastAsia="ru-RU"/>
        </w:rPr>
        <w:t xml:space="preserve">500 тыс.</w:t>
      </w:r>
      <w:r>
        <w:rPr>
          <w:rFonts w:eastAsia="Times New Roman"/>
          <w:b w:val="0"/>
          <w:bCs w:val="0"/>
          <w:shd w:val="clear" w:color="auto" w:fill="ffffff"/>
          <w:lang w:eastAsia="ru-RU"/>
        </w:rPr>
        <w:t xml:space="preserve"> га земли в целях вовлечения в экономический оборот для людей и бизнеса.</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достижения поставленных задач Росреестром разработаны комплексные меры. Их выполнение невозможно без участия региональных команд. Помимо того, что Росреестр собственными силами проводит большую работу по наполнению ЕГРН и проверке качества данных, так</w:t>
      </w:r>
      <w:r>
        <w:rPr>
          <w:rFonts w:eastAsia="Times New Roman"/>
          <w:b w:val="0"/>
          <w:bCs w:val="0"/>
          <w:shd w:val="clear" w:color="auto" w:fill="ffffff"/>
          <w:lang w:eastAsia="ru-RU"/>
        </w:rPr>
        <w:t xml:space="preserve">же реализуется новый механизм в соответствии с Федеральным законом № 344-ФЗ. Он позволил регионам привлекать ППК «Роскадастр» к работе по выявлению и вовлечению в оборот объектов недвижимости. В 2024-2025 гг. реализован пилотный проект, который показал сво</w:t>
      </w:r>
      <w:r>
        <w:rPr>
          <w:rFonts w:eastAsia="Times New Roman"/>
          <w:b w:val="0"/>
          <w:bCs w:val="0"/>
          <w:shd w:val="clear" w:color="auto" w:fill="ffffff"/>
          <w:lang w:eastAsia="ru-RU"/>
        </w:rPr>
        <w:t xml:space="preserve">ю эффективность, и сегодня уже больше половины субъектов РФ подписали такие соглашения с ППК «Роскадастр» в целях достижения показателей капитализации», - </w:t>
      </w:r>
      <w:r>
        <w:rPr>
          <w:rFonts w:eastAsia="Times New Roman"/>
          <w:b w:val="0"/>
          <w:bCs w:val="0"/>
          <w:shd w:val="clear" w:color="auto" w:fill="ffffff"/>
          <w:lang w:eastAsia="ru-RU"/>
        </w:rPr>
        <w:t xml:space="preserve">подчеркнул </w:t>
      </w:r>
      <w:r>
        <w:rPr>
          <w:rFonts w:eastAsia="Times New Roman"/>
          <w:b w:val="0"/>
          <w:bCs w:val="0"/>
          <w:shd w:val="clear" w:color="auto" w:fill="ffffff"/>
          <w:lang w:eastAsia="ru-RU"/>
        </w:rPr>
        <w:t xml:space="preserve">Сергей Щеглов</w:t>
      </w:r>
      <w:r>
        <w:rPr>
          <w:rFonts w:eastAsia="Times New Roman"/>
          <w:b w:val="0"/>
          <w:bCs w:val="0"/>
          <w:shd w:val="clear" w:color="auto" w:fill="ffffff"/>
          <w:lang w:eastAsia="ru-RU"/>
        </w:rPr>
        <w:t xml:space="preserve">.</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по его словам, ключевой задачей является дальнейшее внедрение во всех регионах страны платформы НСПД, без использования возможностей которой достичь установленных показателей просто невозможно.</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госпрограмме Росреестр должен был завершить внедрение платформы к 2030 году, но мы планируем выполнить основные задачи с опережением на 4 года, обеспечив интеграцию с региональными информационными системами каждого региона. Также в каждом регионе до ко</w:t>
      </w:r>
      <w:r>
        <w:rPr>
          <w:rFonts w:eastAsia="Times New Roman"/>
          <w:b w:val="0"/>
          <w:bCs w:val="0"/>
          <w:shd w:val="clear" w:color="auto" w:fill="ffffff"/>
          <w:lang w:eastAsia="ru-RU"/>
        </w:rPr>
        <w:t xml:space="preserve">нца года мы планируем обеспечить использование платформы в нескольких базовых услугах по земле и недвижимости.</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Наиболее перспективной технологией на сегодня является использование картографического компонента НСПД в информационных системах органов власти всех уровней. Это дает значительное повышение эффективности процессов, экономию на разработке систем и инфрастру</w:t>
      </w:r>
      <w:r>
        <w:rPr>
          <w:rFonts w:eastAsia="Times New Roman"/>
          <w:b w:val="0"/>
          <w:bCs w:val="0"/>
          <w:shd w:val="clear" w:color="auto" w:fill="ffffff"/>
          <w:lang w:eastAsia="ru-RU"/>
        </w:rPr>
        <w:t xml:space="preserve">ктуре хранения за счет переиспользования технологий и данных. Разработано более </w:t>
      </w:r>
      <w:r>
        <w:rPr>
          <w:rFonts w:eastAsia="Times New Roman"/>
          <w:b w:val="0"/>
          <w:bCs w:val="0"/>
          <w:shd w:val="clear" w:color="auto" w:fill="ffffff"/>
          <w:lang w:eastAsia="ru-RU"/>
        </w:rPr>
        <w:t xml:space="preserve">70</w:t>
      </w:r>
      <w:r>
        <w:rPr>
          <w:rFonts w:eastAsia="Times New Roman"/>
          <w:b w:val="0"/>
          <w:bCs w:val="0"/>
          <w:shd w:val="clear" w:color="auto" w:fill="ffffff"/>
          <w:lang w:eastAsia="ru-RU"/>
        </w:rPr>
        <w:t xml:space="preserve"> методов работы с пространственными данными, что позволяет автоматизировать сложные процессы пространственного анализа, ускорять и облегчать принятие управленческих решений», - </w:t>
      </w:r>
      <w:r>
        <w:rPr>
          <w:rFonts w:eastAsia="Times New Roman"/>
          <w:b w:val="0"/>
          <w:bCs w:val="0"/>
          <w:shd w:val="clear" w:color="auto" w:fill="ffffff"/>
          <w:lang w:eastAsia="ru-RU"/>
        </w:rPr>
        <w:t xml:space="preserve">сообщил </w:t>
      </w:r>
      <w:r>
        <w:rPr>
          <w:rFonts w:eastAsia="Times New Roman"/>
          <w:b w:val="0"/>
          <w:bCs w:val="0"/>
          <w:shd w:val="clear" w:color="auto" w:fill="ffffff"/>
          <w:lang w:eastAsia="ru-RU"/>
        </w:rPr>
        <w:t xml:space="preserve">Сергей Щеглов</w:t>
      </w:r>
      <w:r>
        <w:rPr>
          <w:rFonts w:eastAsia="Times New Roman"/>
          <w:b w:val="0"/>
          <w:bCs w:val="0"/>
          <w:shd w:val="clear" w:color="auto" w:fill="ffffff"/>
          <w:lang w:eastAsia="ru-RU"/>
        </w:rPr>
        <w:t xml:space="preserve">.</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на площадке форума прошла секция на тему «Кадастровая оценка как инструмент капитализации территории». В формате видеоконференции в мероприятии принял участие заместитель генерального директора ППК «Роскадастр» </w:t>
      </w:r>
      <w:r>
        <w:rPr>
          <w:rFonts w:eastAsia="Times New Roman"/>
          <w:b w:val="0"/>
          <w:bCs w:val="0"/>
          <w:shd w:val="clear" w:color="auto" w:fill="ffffff"/>
          <w:lang w:eastAsia="ru-RU"/>
        </w:rPr>
        <w:t xml:space="preserve">Александр Соловьев</w:t>
      </w:r>
      <w:r>
        <w:rPr>
          <w:rFonts w:eastAsia="Times New Roman"/>
          <w:b w:val="0"/>
          <w:bCs w:val="0"/>
          <w:shd w:val="clear" w:color="auto" w:fill="ffffff"/>
          <w:lang w:eastAsia="ru-RU"/>
        </w:rPr>
        <w:t xml:space="preserve">. По его словам, капитализация территорий России и эффективное вовлечение земельных ресурсов в экономический оборот остаются ключевыми задачами Компании.</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Также на этой секции выступил начальник отдела нормативно-правового регулирования в сфере ГКО Управления нормативно-правового регулирования в сферах регистрации недвижимости, геодезии и картографии Росреестра </w:t>
      </w:r>
      <w:r>
        <w:rPr>
          <w:rFonts w:eastAsia="Times New Roman"/>
          <w:b w:val="0"/>
          <w:bCs w:val="0"/>
          <w:shd w:val="clear" w:color="auto" w:fill="ffffff"/>
          <w:lang w:eastAsia="ru-RU"/>
        </w:rPr>
        <w:t xml:space="preserve">Денис Шереметьев</w:t>
      </w:r>
      <w:r>
        <w:rPr>
          <w:rFonts w:eastAsia="Times New Roman"/>
          <w:b w:val="0"/>
          <w:bCs w:val="0"/>
          <w:shd w:val="clear" w:color="auto" w:fill="ffffff"/>
          <w:lang w:eastAsia="ru-RU"/>
        </w:rPr>
        <w:t xml:space="preserve">. Он рассказал участникам мероприятия о нововведениях в нормативно-правовом регулировании в сфере государственной кадастровой оценки.</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обсуждении ключевых вопросов земельно‑имущественных отношений на площадке IV Ежегодного межрегионального земельного форума «Мастор» приняли участие представители федеральных и региональных органов власти, бизнеса и науки. Также к участию в мероприятии бы</w:t>
      </w:r>
      <w:r>
        <w:rPr>
          <w:rFonts w:eastAsia="Times New Roman"/>
          <w:b w:val="0"/>
          <w:bCs w:val="0"/>
          <w:shd w:val="clear" w:color="auto" w:fill="ffffff"/>
          <w:lang w:eastAsia="ru-RU"/>
        </w:rPr>
        <w:t xml:space="preserve">ли приглашены зарубежные делегации из Азербайджана, Бахрейна, Беларуси, Египта и Омана.</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5.</w:t>
      </w:r>
      <w:r>
        <w:rPr>
          <w:rFonts w:eastAsia="Times New Roman"/>
          <w:b/>
          <w:bCs/>
          <w:shd w:val="clear" w:color="auto" w:fill="ffffff"/>
          <w:lang w:eastAsia="ru-RU"/>
        </w:rPr>
        <w:t xml:space="preserve"> </w:t>
      </w:r>
      <w:r>
        <w:rPr>
          <w:rFonts w:eastAsia="Times New Roman"/>
          <w:b/>
          <w:bCs/>
          <w:shd w:val="clear" w:color="auto" w:fill="ffffff"/>
          <w:lang w:eastAsia="ru-RU"/>
        </w:rPr>
        <w:t xml:space="preserve">Вопрос – ответ: какие хозпостройки необходимо регистрировать в Росреестре?</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наступлением лета всё больше россиян стремятся уехать за город на дачу. Там всегда есть, чем заняться, но независимо от времени года следует задуматься: нужно ли регистрировать права на хозяйственные постройки, которые расположены на вашем участке?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Хозяйственные (вспомогательные) постройки – что это?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начала нужно разобраться, что относится к хозяйственным (вспомогательным) постройкам. Это сараи, бани, теплицы, уличные туалеты и душевые, а также иные сооружения, располагающиеся на вашем участке, но не являющиеся жилыми и садовыми домами.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Другими словами, это строения, которые имеют связь с основным зданием и выполняют вспомогательную или обслуживающую функцию.</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Права на какие постройки нужно регистрировать?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Отметим, что не все сооружения (вспомогательные постройки) являются «недвижимостью», то есть объектами, в отношении которых осуществляется кадастровый учет и на которые регистрируются права.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 основным признакам недвижимого имущества, права на которое подлежат регистрации, можно отнести: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наличие у постройки фундамента, прочная связь объекта с землей, когда перемещение такого объекта невозможно без несоразмерного ущерба его назначению (Зачастую это выражается в наличии заглубленного фундамента, несущих и ограждающих конструкций);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материал, из которого изготовлен объект (цельные материалы, например, кирпич, блоки, отдельные технологии деревянного строительства, а не разборные конструкции, которые могут свободно перемещаться без причинения вреда их назначению).</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Если ваша постройка подходит под эти критерии, права на неё необходимо зарегистрировать. Объект, который под них не подпадает, не подлежит постановке на кадастровый учет и права на него не регистрируются.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Отметим, что чаще всего вместе с жилым домом граждане регистрируют права на капитальные гаражи, бани и различные пристройки для животных.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Разборные теплицы, беседки и навесы, уличные душевые кабины и туалеты, а также другие негабаритные сооружения в случае, если они не имеют признаков объектов недвижимости, можно ставить на своём участке без постановки на кадастровый учет и регистрации прав </w:t>
      </w:r>
      <w:r>
        <w:rPr>
          <w:rFonts w:eastAsia="Times New Roman"/>
          <w:b w:val="0"/>
          <w:bCs w:val="0"/>
          <w:shd w:val="clear" w:color="auto" w:fill="ffffff"/>
          <w:lang w:eastAsia="ru-RU"/>
        </w:rPr>
        <w:t xml:space="preserve">на них.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Как зарегистрировать права на хозпостройки, являющиеся капитальными?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Регистрация права на постройку, осуществляется одновременно с её кадастровым учётом.</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Хозпостройки на земельных участках для ИЖС, ведения личного подсобного хозяйства в границах населенного пункта и садоводства являются вспомогательными объектами по отношению к жилому дому и для их возведения получения разрешения на строительство не требует</w:t>
      </w:r>
      <w:r>
        <w:rPr>
          <w:rFonts w:eastAsia="Times New Roman"/>
          <w:b w:val="0"/>
          <w:bCs w:val="0"/>
          <w:shd w:val="clear" w:color="auto" w:fill="ffffff"/>
          <w:lang w:eastAsia="ru-RU"/>
        </w:rPr>
        <w:t xml:space="preserve">ся.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 этом в соответствии с законодательством о градостроительной деятельности такие объекты считаются завершенными и могут эксплуатироваться с момента их государственного кадастрового учета и государственной регистрации прав.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Процедура постановки на кадастровый учет и регистрации прав на хозпостройки, расположенные на земельных участках для ИЖС, ведения личного подсобного хозяйства в границах населенного пункта и садоводства максимально упрощена.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осуществления указанных процедур не требуется каких-либо разрешений или согласований. Достаточно обратиться к кадастровому инженеру, который определит характеристики хозяйственной постройки (координаты, площадь) и подготовит технический план на основан</w:t>
      </w:r>
      <w:r>
        <w:rPr>
          <w:rFonts w:eastAsia="Times New Roman"/>
          <w:b w:val="0"/>
          <w:bCs w:val="0"/>
          <w:shd w:val="clear" w:color="auto" w:fill="ffffff"/>
          <w:lang w:eastAsia="ru-RU"/>
        </w:rPr>
        <w:t xml:space="preserve">ии декларации об объекте недвижимости.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Получить информацию о конкретном кадастровом инженере можно на сайте Росреестра в разделе </w:t>
      </w:r>
      <w:hyperlink r:id="rId22" w:tooltip="https://rosreestr.gov.ru/site/activity/gosudarstvennyy-reestr-kadastrovykh-inzhenerov/" w:history="1">
        <w:r>
          <w:rPr>
            <w:rFonts w:eastAsia="Times New Roman"/>
            <w:b w:val="0"/>
            <w:bCs w:val="0"/>
            <w:shd w:val="clear" w:color="auto" w:fill="ffffff"/>
            <w:lang w:eastAsia="ru-RU"/>
          </w:rPr>
          <w:t xml:space="preserve">«Государственный реестр кадастровых инженеров»</w:t>
        </w:r>
      </w:hyperlink>
      <w:r>
        <w:rPr>
          <w:rFonts w:eastAsia="Times New Roman"/>
          <w:b w:val="0"/>
          <w:bCs w:val="0"/>
          <w:shd w:val="clear" w:color="auto" w:fill="ffffff"/>
          <w:lang w:eastAsia="ru-RU"/>
        </w:rPr>
        <w:t xml:space="preserve">. Там содержатся данные о наличии у него специального образования, квалификационного аттестата, подтверждение его членства в СРО.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Далее документы необходимо передать в Росреестр - заявление о государственном кадастровом учете и регистрации прав, а также подготовленный кадастровым инженером технический план.</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Собственник может сделать это лично или уполномочив кадастрового инженера, прописав соответствующую информацию в договоре подряда на выполнение кадастровых работ.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 что следует обращать внимание при возведении хозпостроек?</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Есть нюанс, на который нужно обращать внимание. Это вид разрешенного использования вашего участка. Так, если земельный участок предназначен для ведения огородничества, то возводить объекты капитального строительства на нём нельзя. Можно размещать только хо</w:t>
      </w:r>
      <w:r>
        <w:rPr>
          <w:rFonts w:eastAsia="Times New Roman"/>
          <w:b w:val="0"/>
          <w:bCs w:val="0"/>
          <w:shd w:val="clear" w:color="auto" w:fill="ffffff"/>
          <w:lang w:eastAsia="ru-RU"/>
        </w:rPr>
        <w:t xml:space="preserve">зяйственные постройки для хранения инвентаря и урожая, не являющиеся объектами недвижимости. А вот на садовом участке размещать капитальные вспомогательные постройки, прочно связанные с землей, можно.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создание хозпостроек должно осуществляться с соблюдением требований градостроительных регламентов соответствующей территории, утвержденных в составе правил землепользования и застройки, в том числе с соблюдением отступов от границ земельных уча</w:t>
      </w:r>
      <w:r>
        <w:rPr>
          <w:rFonts w:eastAsia="Times New Roman"/>
          <w:b w:val="0"/>
          <w:bCs w:val="0"/>
          <w:shd w:val="clear" w:color="auto" w:fill="ffffff"/>
          <w:lang w:eastAsia="ru-RU"/>
        </w:rPr>
        <w:t xml:space="preserve">стков.</w:t>
      </w:r>
      <w:r>
        <w:rPr>
          <w:rFonts w:eastAsia="Times New Roman"/>
          <w:b w:val="0"/>
          <w:bCs w:val="0"/>
          <w:lang w:eastAsia="ru-RU"/>
          <w14:ligatures w14:val="none"/>
        </w:rPr>
      </w:r>
      <w:r>
        <w:rPr>
          <w:rFonts w:eastAsia="Times New Roman"/>
          <w:b w:val="0"/>
          <w:bCs w:val="0"/>
          <w:lang w:eastAsia="ru-RU"/>
          <w14:ligatures w14:val="none"/>
        </w:rPr>
      </w:r>
    </w:p>
    <w:p>
      <w:pPr>
        <w:ind w:firstLine="0"/>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6. </w:t>
      </w:r>
      <w:r>
        <w:rPr>
          <w:rFonts w:eastAsia="Times New Roman"/>
          <w:b/>
          <w:bCs/>
          <w:shd w:val="clear" w:color="auto" w:fill="ffffff"/>
          <w:lang w:eastAsia="ru-RU"/>
        </w:rPr>
        <w:t xml:space="preserve">ПМЭФ-2026: Росреестр и Правительство Москвы подписали комплексную дорожную карту.</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 полях Петербургского международного экономического форума Росреестр и Правительство Москвы подписали комплексный план мероприятий (дорожную карту). В соответствии с документом в столице в 2026-2030 годах будет проводиться работа по оптимизации учетно-ре</w:t>
      </w:r>
      <w:r>
        <w:rPr>
          <w:rFonts w:eastAsia="Times New Roman"/>
          <w:b w:val="0"/>
          <w:bCs w:val="0"/>
          <w:shd w:val="clear" w:color="auto" w:fill="ffffff"/>
          <w:lang w:eastAsia="ru-RU"/>
        </w:rPr>
        <w:t xml:space="preserve">гистрационных действий в отношении объектов недвижимости и повышению капитализации территорий.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Подписи под документом поставили руководитель Росреестра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и заместитель мэра Москвы по вопросам градостроительной политики и строительства </w:t>
      </w:r>
      <w:r>
        <w:rPr>
          <w:rFonts w:eastAsia="Times New Roman"/>
          <w:b w:val="0"/>
          <w:bCs w:val="0"/>
          <w:shd w:val="clear" w:color="auto" w:fill="ffffff"/>
          <w:lang w:eastAsia="ru-RU"/>
        </w:rPr>
        <w:t xml:space="preserve">Владимир Ефимов</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Комплексная дорожная карта направлена на развитие сотрудничества между ведомством и Правительством Москвы, которое осуществляется с 2020 года. В новый план интегрированы вопросы повышения капитализации территории столицы, взаимодействия при учетно-регистра</w:t>
      </w:r>
      <w:r>
        <w:rPr>
          <w:rFonts w:eastAsia="Times New Roman"/>
          <w:b w:val="0"/>
          <w:bCs w:val="0"/>
          <w:shd w:val="clear" w:color="auto" w:fill="ffffff"/>
          <w:lang w:eastAsia="ru-RU"/>
        </w:rPr>
        <w:t xml:space="preserve">ционной деятельности, наполнения Единого государственного реестра недвижимости полными и точными данными, взаимодействия информационных систем и другие.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«Сегодня перед Росреестром стоит задача по повышению капитализации территорий страны, которая поставлена Президентом. Для ее достижения реализуется целый комплекс мероприятий, в том числе с участием глав субъектов РФ. Масштабная работа будет способствовать</w:t>
      </w:r>
      <w:r>
        <w:rPr>
          <w:rFonts w:eastAsia="Times New Roman"/>
          <w:b w:val="0"/>
          <w:bCs w:val="0"/>
          <w:shd w:val="clear" w:color="auto" w:fill="ffffff"/>
          <w:lang w:eastAsia="ru-RU"/>
        </w:rPr>
        <w:t xml:space="preserve"> эффективному управлению земельными ресурсами и недвижимостью, развитию инвестиционной привлекательности территорий, росту благосостояния граждан, повышению уровня жизни за счет строительства жилья и создания комфортной городской среды. Москва является лид</w:t>
      </w:r>
      <w:r>
        <w:rPr>
          <w:rFonts w:eastAsia="Times New Roman"/>
          <w:b w:val="0"/>
          <w:bCs w:val="0"/>
          <w:shd w:val="clear" w:color="auto" w:fill="ffffff"/>
          <w:lang w:eastAsia="ru-RU"/>
        </w:rPr>
        <w:t xml:space="preserve">ером в стране по реализации этих процессов. Подписание комплексной дорожной карты придаст данной работе дополнительный импульс</w:t>
      </w:r>
      <w:r>
        <w:rPr>
          <w:rFonts w:eastAsia="Times New Roman"/>
          <w:b w:val="0"/>
          <w:bCs w:val="0"/>
          <w:shd w:val="clear" w:color="auto" w:fill="ffffff"/>
          <w:lang w:eastAsia="ru-RU"/>
        </w:rPr>
        <w:t xml:space="preserve">», - подчеркнул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Документ предусматривает повышение эффективности и качества оказания государственных и муниципальных услуг в сфере недвижимости, увеличение капитализации территории столицы, популяризацию электронных услуг Росреестра и оптимизацию взаимодействия с органами</w:t>
      </w:r>
      <w:r>
        <w:rPr>
          <w:rFonts w:eastAsia="Times New Roman"/>
          <w:b w:val="0"/>
          <w:bCs w:val="0"/>
          <w:shd w:val="clear" w:color="auto" w:fill="ffffff"/>
          <w:lang w:eastAsia="ru-RU"/>
        </w:rPr>
        <w:t xml:space="preserve"> исполнительной власти города.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документ предполагает обеспечение кадастрового учета и регистрации прав в отношении бытовой недвижимости и социально значимых объектов по электронным документам в течение одного рабочего дня, расширение экстерриториального принципа подачи заявл</w:t>
      </w:r>
      <w:r>
        <w:rPr>
          <w:rFonts w:eastAsia="Times New Roman"/>
          <w:b w:val="0"/>
          <w:bCs w:val="0"/>
          <w:shd w:val="clear" w:color="auto" w:fill="ffffff"/>
          <w:lang w:eastAsia="ru-RU"/>
        </w:rPr>
        <w:t xml:space="preserve">ений и документов на кадастровый учет и регистрацию прав на объекты недвижимости в Донецкой и Луганской народных республиках, Запорожской, Херсонской областях и консультирование участников СВО и членов их семей по услугам в сфере земли и недвижимости.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Помимо этого, планируется организация взаимодействия Единой цифровой платформы «Национальная система пространственных данных» (НСПД) с геоинформационными системами Москвы, применение технологий искусственного интеллекта при оказании услуг в сфере регистрац</w:t>
      </w:r>
      <w:r>
        <w:rPr>
          <w:rFonts w:eastAsia="Times New Roman"/>
          <w:b w:val="0"/>
          <w:bCs w:val="0"/>
          <w:shd w:val="clear" w:color="auto" w:fill="ffffff"/>
          <w:lang w:eastAsia="ru-RU"/>
        </w:rPr>
        <w:t xml:space="preserve">ии недвижимости и т.д.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Москва развивает использование и внедрение цифровых продуктов и решений в строительной сфере. Современные технологии позволяют быстрее получать необходимую информацию, а сервисам, предоставляющим государственные услуги, – становиться более прозрачными и уд</w:t>
      </w:r>
      <w:r>
        <w:rPr>
          <w:rFonts w:eastAsia="Times New Roman"/>
          <w:b w:val="0"/>
          <w:bCs w:val="0"/>
          <w:shd w:val="clear" w:color="auto" w:fill="ffffff"/>
          <w:lang w:eastAsia="ru-RU"/>
        </w:rPr>
        <w:t xml:space="preserve">обными для граждан. Подписание дорожной карты между Правительством Москвы и Росреестром станет еще одним шагом к развитию современных цифровых возможностей. Совместная работа позволит повысить уровень удовлетворенности у всех категорий заявителей при оформ</w:t>
      </w:r>
      <w:r>
        <w:rPr>
          <w:rFonts w:eastAsia="Times New Roman"/>
          <w:b w:val="0"/>
          <w:bCs w:val="0"/>
          <w:shd w:val="clear" w:color="auto" w:fill="ffffff"/>
          <w:lang w:eastAsia="ru-RU"/>
        </w:rPr>
        <w:t xml:space="preserve">лении прав на недвижимое имущество, а также популяризировать использование электронных услуг Росреестра</w:t>
      </w:r>
      <w:r>
        <w:rPr>
          <w:rFonts w:eastAsia="Times New Roman"/>
          <w:b w:val="0"/>
          <w:bCs w:val="0"/>
          <w:shd w:val="clear" w:color="auto" w:fill="ffffff"/>
          <w:lang w:eastAsia="ru-RU"/>
        </w:rPr>
        <w:t xml:space="preserve">», – рассказал заместитель мэра Москвы по вопросам градостроительной политики и строительства </w:t>
      </w:r>
      <w:r>
        <w:rPr>
          <w:rFonts w:eastAsia="Times New Roman"/>
          <w:b w:val="0"/>
          <w:bCs w:val="0"/>
          <w:shd w:val="clear" w:color="auto" w:fill="ffffff"/>
          <w:lang w:eastAsia="ru-RU"/>
        </w:rPr>
        <w:t xml:space="preserve">Владимир Ефимов</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Ранее комплексная дорожная карта была подписана Росреестром с </w:t>
      </w:r>
      <w:hyperlink r:id="rId23" w:tooltip="https://rosreestr.gov.ru/press/archive/rosreestr-i-pravitelstvo-tatarstana-podpisali-kompleksnuyu-dorozhnuyu-kartu/" w:history="1">
        <w:r>
          <w:rPr>
            <w:rFonts w:eastAsia="Times New Roman"/>
            <w:b w:val="0"/>
            <w:bCs w:val="0"/>
            <w:shd w:val="clear" w:color="auto" w:fill="ffffff"/>
            <w:lang w:eastAsia="ru-RU"/>
          </w:rPr>
          <w:t xml:space="preserve">Правительством Татарстана</w:t>
        </w:r>
      </w:hyperlink>
      <w:r>
        <w:rPr>
          <w:rFonts w:eastAsia="Times New Roman"/>
          <w:b w:val="0"/>
          <w:bCs w:val="0"/>
          <w:shd w:val="clear" w:color="auto" w:fill="ffffff"/>
          <w:lang w:eastAsia="ru-RU"/>
        </w:rPr>
        <w:t xml:space="preserve">. Аналогичные документы планируется оформить еще с рядом регионов.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7. </w:t>
      </w:r>
      <w:r>
        <w:rPr>
          <w:rFonts w:eastAsia="Times New Roman"/>
          <w:b/>
          <w:bCs/>
          <w:shd w:val="clear" w:color="auto" w:fill="ffffff"/>
          <w:lang w:eastAsia="ru-RU"/>
        </w:rPr>
        <w:t xml:space="preserve">Росреестр на ПМЭФ представил НСПД как эффективный инструмент повышения капитализации страны.</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Росреестр на полях Петербургского международного экономического форума провел панельную сессию «Пространственное развитие как инструмент капитализации страны». В мероприятии, модератором которого выступил гендиректор Московского фонда реновации жилой застр</w:t>
      </w:r>
      <w:r>
        <w:rPr>
          <w:rFonts w:eastAsia="Times New Roman"/>
          <w:b w:val="0"/>
          <w:bCs w:val="0"/>
          <w:shd w:val="clear" w:color="auto" w:fill="ffffff"/>
          <w:lang w:eastAsia="ru-RU"/>
        </w:rPr>
        <w:t xml:space="preserve">ойки </w:t>
      </w:r>
      <w:r>
        <w:rPr>
          <w:rFonts w:eastAsia="Times New Roman"/>
          <w:b w:val="0"/>
          <w:bCs w:val="0"/>
          <w:shd w:val="clear" w:color="auto" w:fill="ffffff"/>
          <w:lang w:eastAsia="ru-RU"/>
        </w:rPr>
        <w:t xml:space="preserve">Максим Степанов</w:t>
      </w:r>
      <w:r>
        <w:rPr>
          <w:rFonts w:eastAsia="Times New Roman"/>
          <w:b w:val="0"/>
          <w:bCs w:val="0"/>
          <w:shd w:val="clear" w:color="auto" w:fill="ffffff"/>
          <w:lang w:eastAsia="ru-RU"/>
        </w:rPr>
        <w:t xml:space="preserve">, приняли участие представители федеральных органов власти, профильных структур, институтов развития, а также зарубежные гости.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Росреестра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отметил, что вынесенный на обсуждение вопрос является одной из ключевых тем экономического развития.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«Под капитализацией территорий понимается совокупная стоимость земельных участков и объектов капитального строительства страны, которую можно декомпозировать на каждый регион, муниципалитет, город. И сегодня мы четко знаем, сколько стоит вся недвижимость в</w:t>
      </w:r>
      <w:r>
        <w:rPr>
          <w:rFonts w:eastAsia="Times New Roman"/>
          <w:b w:val="0"/>
          <w:bCs w:val="0"/>
          <w:shd w:val="clear" w:color="auto" w:fill="ffffff"/>
          <w:lang w:eastAsia="ru-RU"/>
        </w:rPr>
        <w:t xml:space="preserve"> Российской Федерации – </w:t>
      </w:r>
      <w:r>
        <w:rPr>
          <w:rFonts w:eastAsia="Times New Roman"/>
          <w:b w:val="0"/>
          <w:bCs w:val="0"/>
          <w:shd w:val="clear" w:color="auto" w:fill="ffffff"/>
          <w:lang w:eastAsia="ru-RU"/>
        </w:rPr>
        <w:t xml:space="preserve">921 трлн</w:t>
      </w:r>
      <w:r>
        <w:rPr>
          <w:rFonts w:eastAsia="Times New Roman"/>
          <w:b w:val="0"/>
          <w:bCs w:val="0"/>
          <w:shd w:val="clear" w:color="auto" w:fill="ffffff"/>
          <w:lang w:eastAsia="ru-RU"/>
        </w:rPr>
        <w:t xml:space="preserve"> рублей. Хочу подчеркнуть, что на 1 января 2020 года она составляла </w:t>
      </w:r>
      <w:r>
        <w:rPr>
          <w:rFonts w:eastAsia="Times New Roman"/>
          <w:b w:val="0"/>
          <w:bCs w:val="0"/>
          <w:shd w:val="clear" w:color="auto" w:fill="ffffff"/>
          <w:lang w:eastAsia="ru-RU"/>
        </w:rPr>
        <w:t xml:space="preserve">701 трлн</w:t>
      </w:r>
      <w:r>
        <w:rPr>
          <w:rFonts w:eastAsia="Times New Roman"/>
          <w:b w:val="0"/>
          <w:bCs w:val="0"/>
          <w:shd w:val="clear" w:color="auto" w:fill="ffffff"/>
          <w:lang w:eastAsia="ru-RU"/>
        </w:rPr>
        <w:t xml:space="preserve"> рублей, то есть за </w:t>
      </w:r>
      <w:r>
        <w:rPr>
          <w:rFonts w:eastAsia="Times New Roman"/>
          <w:b w:val="0"/>
          <w:bCs w:val="0"/>
          <w:shd w:val="clear" w:color="auto" w:fill="ffffff"/>
          <w:lang w:eastAsia="ru-RU"/>
        </w:rPr>
        <w:t xml:space="preserve">6</w:t>
      </w:r>
      <w:r>
        <w:rPr>
          <w:rFonts w:eastAsia="Times New Roman"/>
          <w:b w:val="0"/>
          <w:bCs w:val="0"/>
          <w:shd w:val="clear" w:color="auto" w:fill="ffffff"/>
          <w:lang w:eastAsia="ru-RU"/>
        </w:rPr>
        <w:t xml:space="preserve"> лет капитализация выросла на </w:t>
      </w:r>
      <w:r>
        <w:rPr>
          <w:rFonts w:eastAsia="Times New Roman"/>
          <w:b w:val="0"/>
          <w:bCs w:val="0"/>
          <w:shd w:val="clear" w:color="auto" w:fill="ffffff"/>
          <w:lang w:eastAsia="ru-RU"/>
        </w:rPr>
        <w:t xml:space="preserve">220 трлн</w:t>
      </w:r>
      <w:r>
        <w:rPr>
          <w:rFonts w:eastAsia="Times New Roman"/>
          <w:b w:val="0"/>
          <w:bCs w:val="0"/>
          <w:shd w:val="clear" w:color="auto" w:fill="ffffff"/>
          <w:lang w:eastAsia="ru-RU"/>
        </w:rPr>
        <w:t xml:space="preserve"> рублей. И это результат командной работы Правительства, глав регионов, всех структур, которые работали над созданием необходимой инфраструктуры, выявлением и вовлечением объектов в оборот, благоустройством городов. То есть капитализация отображает результ</w:t>
      </w:r>
      <w:r>
        <w:rPr>
          <w:rFonts w:eastAsia="Times New Roman"/>
          <w:b w:val="0"/>
          <w:bCs w:val="0"/>
          <w:shd w:val="clear" w:color="auto" w:fill="ffffff"/>
          <w:lang w:eastAsia="ru-RU"/>
        </w:rPr>
        <w:t xml:space="preserve">ат слаженных действий всей управленческой команды. Для выполнения задачи, поставленной руководством страны, необходимо к 2030 году выйти на знаковую цифру в 1 квадриллион рублей»,</w:t>
      </w:r>
      <w:r>
        <w:rPr>
          <w:rFonts w:eastAsia="Times New Roman"/>
          <w:b w:val="0"/>
          <w:bCs w:val="0"/>
          <w:shd w:val="clear" w:color="auto" w:fill="ffffff"/>
          <w:lang w:eastAsia="ru-RU"/>
        </w:rPr>
        <w:t xml:space="preserve"> - подчеркнул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Службы </w:t>
      </w:r>
      <w:r>
        <w:rPr>
          <w:rFonts w:eastAsia="Times New Roman"/>
          <w:b w:val="0"/>
          <w:bCs w:val="0"/>
          <w:shd w:val="clear" w:color="auto" w:fill="ffffff"/>
          <w:lang w:eastAsia="ru-RU"/>
        </w:rPr>
        <w:t xml:space="preserve">рассказал о мерах, направленных на достижение этой масштабной задачи: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1. Формирование полного и точного реестра недвижимости, верификация всех данных и единая система классификаторов. Работа проводится совместно с Минэкономразвития РФ и Минстроем России.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2. Выявление для вовлечения в оборот </w:t>
      </w:r>
      <w:r>
        <w:rPr>
          <w:rFonts w:eastAsia="Times New Roman"/>
          <w:b w:val="0"/>
          <w:bCs w:val="0"/>
          <w:shd w:val="clear" w:color="auto" w:fill="ffffff"/>
          <w:lang w:eastAsia="ru-RU"/>
        </w:rPr>
        <w:t xml:space="preserve">500 тыс. га </w:t>
      </w:r>
      <w:r>
        <w:rPr>
          <w:rFonts w:eastAsia="Times New Roman"/>
          <w:b w:val="0"/>
          <w:bCs w:val="0"/>
          <w:shd w:val="clear" w:color="auto" w:fill="ffffff"/>
          <w:lang w:eastAsia="ru-RU"/>
        </w:rPr>
        <w:t xml:space="preserve">до 2030 года. Это двукратный запас земли, необходимой для реализации национальных проектов.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3. Обеспечение максимально эффективного использования бюджетных средств.</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Каждый бюджетный рубль, вложенный в экономику, должен приносить максимальный эффект.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настоящее время единым инструментом, который позволяет решать задачи территориального развития страны и активно используется федеральными, региональными и местными органами власти, профессиональными участниками рынка недвижимости и гражданами, выступает</w:t>
      </w:r>
      <w:r>
        <w:rPr>
          <w:rFonts w:eastAsia="Times New Roman"/>
          <w:b w:val="0"/>
          <w:bCs w:val="0"/>
          <w:shd w:val="clear" w:color="auto" w:fill="ffffff"/>
          <w:lang w:eastAsia="ru-RU"/>
        </w:rPr>
        <w:t xml:space="preserve"> цифровая платформа «Национальная система пространственных данных». Другого универсального инструмента не существует. Если в 2024 году, когда платформа была введена в эксплуатацию, её посещали </w:t>
      </w:r>
      <w:r>
        <w:rPr>
          <w:rFonts w:eastAsia="Times New Roman"/>
          <w:b w:val="0"/>
          <w:bCs w:val="0"/>
          <w:shd w:val="clear" w:color="auto" w:fill="ffffff"/>
          <w:lang w:eastAsia="ru-RU"/>
        </w:rPr>
        <w:t xml:space="preserve">180 тыс.</w:t>
      </w:r>
      <w:r>
        <w:rPr>
          <w:rFonts w:eastAsia="Times New Roman"/>
          <w:b w:val="0"/>
          <w:bCs w:val="0"/>
          <w:shd w:val="clear" w:color="auto" w:fill="ffffff"/>
          <w:lang w:eastAsia="ru-RU"/>
        </w:rPr>
        <w:t xml:space="preserve"> человек в месяц, то сегодня это </w:t>
      </w:r>
      <w:r>
        <w:rPr>
          <w:rFonts w:eastAsia="Times New Roman"/>
          <w:b w:val="0"/>
          <w:bCs w:val="0"/>
          <w:shd w:val="clear" w:color="auto" w:fill="ffffff"/>
          <w:lang w:eastAsia="ru-RU"/>
        </w:rPr>
        <w:t xml:space="preserve">5,5 млн</w:t>
      </w:r>
      <w:r>
        <w:rPr>
          <w:rFonts w:eastAsia="Times New Roman"/>
          <w:b w:val="0"/>
          <w:bCs w:val="0"/>
          <w:shd w:val="clear" w:color="auto" w:fill="ffffff"/>
          <w:lang w:eastAsia="ru-RU"/>
        </w:rPr>
        <w:t xml:space="preserve"> человек. На сегодня в НСПД интегрированы данные из </w:t>
      </w:r>
      <w:r>
        <w:rPr>
          <w:rFonts w:eastAsia="Times New Roman"/>
          <w:b w:val="0"/>
          <w:bCs w:val="0"/>
          <w:shd w:val="clear" w:color="auto" w:fill="ffffff"/>
          <w:lang w:eastAsia="ru-RU"/>
        </w:rPr>
        <w:t xml:space="preserve">34</w:t>
      </w:r>
      <w:r>
        <w:rPr>
          <w:rFonts w:eastAsia="Times New Roman"/>
          <w:b w:val="0"/>
          <w:bCs w:val="0"/>
          <w:shd w:val="clear" w:color="auto" w:fill="ffffff"/>
          <w:lang w:eastAsia="ru-RU"/>
        </w:rPr>
        <w:t xml:space="preserve"> федеральных, </w:t>
      </w:r>
      <w:r>
        <w:rPr>
          <w:rFonts w:eastAsia="Times New Roman"/>
          <w:b w:val="0"/>
          <w:bCs w:val="0"/>
          <w:shd w:val="clear" w:color="auto" w:fill="ffffff"/>
          <w:lang w:eastAsia="ru-RU"/>
        </w:rPr>
        <w:t xml:space="preserve">93</w:t>
      </w:r>
      <w:r>
        <w:rPr>
          <w:rFonts w:eastAsia="Times New Roman"/>
          <w:b w:val="0"/>
          <w:bCs w:val="0"/>
          <w:shd w:val="clear" w:color="auto" w:fill="ffffff"/>
          <w:lang w:eastAsia="ru-RU"/>
        </w:rPr>
        <w:t xml:space="preserve"> региональных и </w:t>
      </w:r>
      <w:r>
        <w:rPr>
          <w:rFonts w:eastAsia="Times New Roman"/>
          <w:b w:val="0"/>
          <w:bCs w:val="0"/>
          <w:shd w:val="clear" w:color="auto" w:fill="ffffff"/>
          <w:lang w:eastAsia="ru-RU"/>
        </w:rPr>
        <w:t xml:space="preserve">8 </w:t>
      </w:r>
      <w:r>
        <w:rPr>
          <w:rFonts w:eastAsia="Times New Roman"/>
          <w:b w:val="0"/>
          <w:bCs w:val="0"/>
          <w:shd w:val="clear" w:color="auto" w:fill="ffffff"/>
          <w:lang w:eastAsia="ru-RU"/>
        </w:rPr>
        <w:t xml:space="preserve">коммерческих систем, система содержит более </w:t>
      </w:r>
      <w:r>
        <w:rPr>
          <w:rFonts w:eastAsia="Times New Roman"/>
          <w:b w:val="0"/>
          <w:bCs w:val="0"/>
          <w:shd w:val="clear" w:color="auto" w:fill="ffffff"/>
          <w:lang w:eastAsia="ru-RU"/>
        </w:rPr>
        <w:t xml:space="preserve">5 тыс</w:t>
      </w:r>
      <w:r>
        <w:rPr>
          <w:rFonts w:eastAsia="Times New Roman"/>
          <w:b w:val="0"/>
          <w:bCs w:val="0"/>
          <w:shd w:val="clear" w:color="auto" w:fill="ffffff"/>
          <w:lang w:eastAsia="ru-RU"/>
        </w:rPr>
        <w:t xml:space="preserve">. слоев открытых пространственных данных», - </w:t>
      </w:r>
      <w:r>
        <w:rPr>
          <w:rFonts w:eastAsia="Times New Roman"/>
          <w:b w:val="0"/>
          <w:bCs w:val="0"/>
          <w:shd w:val="clear" w:color="auto" w:fill="ffffff"/>
          <w:lang w:eastAsia="ru-RU"/>
        </w:rPr>
        <w:t xml:space="preserve">сообщил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Замминистра экономического развития РФ </w:t>
      </w:r>
      <w:r>
        <w:rPr>
          <w:rFonts w:eastAsia="Times New Roman"/>
          <w:b w:val="0"/>
          <w:bCs w:val="0"/>
          <w:shd w:val="clear" w:color="auto" w:fill="ffffff"/>
          <w:lang w:eastAsia="ru-RU"/>
        </w:rPr>
        <w:t xml:space="preserve">Святослав Сорокин </w:t>
      </w:r>
      <w:r>
        <w:rPr>
          <w:rFonts w:eastAsia="Times New Roman"/>
          <w:b w:val="0"/>
          <w:bCs w:val="0"/>
          <w:shd w:val="clear" w:color="auto" w:fill="ffffff"/>
          <w:lang w:eastAsia="ru-RU"/>
        </w:rPr>
        <w:t xml:space="preserve">сообщил, что для повышения качества территориального планирования обеспечена интеграция Федеральной государственной информационной системы территориального планирования (ФГИС ТП) и НСПД. Это позволило перевести процессы согласования документов в цифровой ф</w:t>
      </w:r>
      <w:r>
        <w:rPr>
          <w:rFonts w:eastAsia="Times New Roman"/>
          <w:b w:val="0"/>
          <w:bCs w:val="0"/>
          <w:shd w:val="clear" w:color="auto" w:fill="ffffff"/>
          <w:lang w:eastAsia="ru-RU"/>
        </w:rPr>
        <w:t xml:space="preserve">ормат и сократить сроки их рассмотрения федеральными органами исполнительной власти в три раза.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Замглавы Минстроя России </w:t>
      </w:r>
      <w:r>
        <w:rPr>
          <w:rFonts w:eastAsia="Times New Roman"/>
          <w:b w:val="0"/>
          <w:bCs w:val="0"/>
          <w:shd w:val="clear" w:color="auto" w:fill="ffffff"/>
          <w:lang w:eastAsia="ru-RU"/>
        </w:rPr>
        <w:t xml:space="preserve">Никита Стасишин</w:t>
      </w:r>
      <w:r>
        <w:rPr>
          <w:rFonts w:eastAsia="Times New Roman"/>
          <w:b w:val="0"/>
          <w:bCs w:val="0"/>
          <w:shd w:val="clear" w:color="auto" w:fill="ffffff"/>
          <w:lang w:eastAsia="ru-RU"/>
        </w:rPr>
        <w:t xml:space="preserve"> представил информацию о механизмах наращивания градостроительного потенциала в РФ. Он отметил, что на сегодняшний день экспертиза в инфраструктурном строительстве основывается на данных Росреестра и ППК «Роскадастр», в том числе платформы НСПД. По его сло</w:t>
      </w:r>
      <w:r>
        <w:rPr>
          <w:rFonts w:eastAsia="Times New Roman"/>
          <w:b w:val="0"/>
          <w:bCs w:val="0"/>
          <w:shd w:val="clear" w:color="auto" w:fill="ffffff"/>
          <w:lang w:eastAsia="ru-RU"/>
        </w:rPr>
        <w:t xml:space="preserve">вам, данные, которые размещены на платформе, позволяют точно спланировать государственные и негосударственные инвестиции в любое инфраструктурное строительство. Также он отметил, что субъектам РФ совместно с Росреестром и ППК «Роскадастр» нужно выбирать ма</w:t>
      </w:r>
      <w:r>
        <w:rPr>
          <w:rFonts w:eastAsia="Times New Roman"/>
          <w:b w:val="0"/>
          <w:bCs w:val="0"/>
          <w:shd w:val="clear" w:color="auto" w:fill="ffffff"/>
          <w:lang w:eastAsia="ru-RU"/>
        </w:rPr>
        <w:t xml:space="preserve">ксимально эффективные участки для вложений в инфраструктуру.</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Также на панельной дискуссии выступили представители профильных ведомств Саудовской Аравии, Турции и Узбекистана. Они поделились своими наработками в сфере недвижимости и геопространственных данных.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частности, помощник Президента Главного управления геодезии и геопространственной информации Королевства Саудовская Аравия по вопросам стратегического планирования и организационной эффективности (GEOSA) </w:t>
      </w:r>
      <w:r>
        <w:rPr>
          <w:rFonts w:eastAsia="Times New Roman"/>
          <w:b w:val="0"/>
          <w:bCs w:val="0"/>
          <w:shd w:val="clear" w:color="auto" w:fill="ffffff"/>
          <w:lang w:eastAsia="ru-RU"/>
        </w:rPr>
        <w:t xml:space="preserve">Мохаммад Альмабрук</w:t>
      </w:r>
      <w:r>
        <w:rPr>
          <w:rFonts w:eastAsia="Times New Roman"/>
          <w:b w:val="0"/>
          <w:bCs w:val="0"/>
          <w:shd w:val="clear" w:color="auto" w:fill="ffffff"/>
          <w:lang w:eastAsia="ru-RU"/>
        </w:rPr>
        <w:t xml:space="preserve"> отметил, что для решения задач пространственного развития в Саудовской Аравии разработана Национальная инициатива по управлению геопространственными данными. Такие технологии, как геопространственный искусственный интеллект, большие данные и облачные плат</w:t>
      </w:r>
      <w:r>
        <w:rPr>
          <w:rFonts w:eastAsia="Times New Roman"/>
          <w:b w:val="0"/>
          <w:bCs w:val="0"/>
          <w:shd w:val="clear" w:color="auto" w:fill="ffffff"/>
          <w:lang w:eastAsia="ru-RU"/>
        </w:rPr>
        <w:t xml:space="preserve">формы оптимизируют процесс принятия решений в области городского планирования, управления стихийными бедствиями и повышения устойчивости к изменению климата. По его словам, необходимо перейти от изолированных источников данных к взаимосвязанным геопростран</w:t>
      </w:r>
      <w:r>
        <w:rPr>
          <w:rFonts w:eastAsia="Times New Roman"/>
          <w:b w:val="0"/>
          <w:bCs w:val="0"/>
          <w:shd w:val="clear" w:color="auto" w:fill="ffffff"/>
          <w:lang w:eastAsia="ru-RU"/>
        </w:rPr>
        <w:t xml:space="preserve">ственным экосистемам, которые стимулируют инновации и устойчивый рост экономики.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Генеральный директор Главного управления регистрации прав собственности и кадастра Министерства окружающей среды, градостроительства и изменения климата Турецкой Республики </w:t>
      </w:r>
      <w:r>
        <w:rPr>
          <w:rFonts w:eastAsia="Times New Roman"/>
          <w:b w:val="0"/>
          <w:bCs w:val="0"/>
          <w:shd w:val="clear" w:color="auto" w:fill="ffffff"/>
          <w:lang w:eastAsia="ru-RU"/>
        </w:rPr>
        <w:t xml:space="preserve">Хакан Гедигли</w:t>
      </w:r>
      <w:r>
        <w:rPr>
          <w:rFonts w:eastAsia="Times New Roman"/>
          <w:b w:val="0"/>
          <w:bCs w:val="0"/>
          <w:shd w:val="clear" w:color="auto" w:fill="ffffff"/>
          <w:lang w:eastAsia="ru-RU"/>
        </w:rPr>
        <w:t xml:space="preserve"> сделал акцент на важности обеспечения полноты и точности пространственных данных. Проводимая в Турции работа по цифровизации позволила сделать услуги более быстрыми, прозрачными и доступными для граждан. Также идет работа по формированию 3D-моделей всех г</w:t>
      </w:r>
      <w:r>
        <w:rPr>
          <w:rFonts w:eastAsia="Times New Roman"/>
          <w:b w:val="0"/>
          <w:bCs w:val="0"/>
          <w:shd w:val="clear" w:color="auto" w:fill="ffffff"/>
          <w:lang w:eastAsia="ru-RU"/>
        </w:rPr>
        <w:t xml:space="preserve">ородов, будет сформирована цифровая база с основными данными. Кроме того, спикер выразил надежду на взаимное сотрудничество и расширение взаимодействия в данной сфере.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Директор Национального центра по массовой оценке недвижимого имущества Республики Узбекистан </w:t>
      </w:r>
      <w:r>
        <w:rPr>
          <w:rFonts w:eastAsia="Times New Roman"/>
          <w:b w:val="0"/>
          <w:bCs w:val="0"/>
          <w:shd w:val="clear" w:color="auto" w:fill="ffffff"/>
          <w:lang w:eastAsia="ru-RU"/>
        </w:rPr>
        <w:t xml:space="preserve">Муххидин Холмуродов</w:t>
      </w:r>
      <w:r>
        <w:rPr>
          <w:rFonts w:eastAsia="Times New Roman"/>
          <w:b w:val="0"/>
          <w:bCs w:val="0"/>
          <w:shd w:val="clear" w:color="auto" w:fill="ffffff"/>
          <w:lang w:eastAsia="ru-RU"/>
        </w:rPr>
        <w:t xml:space="preserve"> поблагодарил Росреестр за помощь в реализации масштабной реформы по внедрению системы массовой кадастровой оценки недвижимости. Благодаря технологиям, которыми сегодня обладает Российская Федерация, республика сделала большой шаг на пути повышения прозрач</w:t>
      </w:r>
      <w:r>
        <w:rPr>
          <w:rFonts w:eastAsia="Times New Roman"/>
          <w:b w:val="0"/>
          <w:bCs w:val="0"/>
          <w:shd w:val="clear" w:color="auto" w:fill="ffffff"/>
          <w:lang w:eastAsia="ru-RU"/>
        </w:rPr>
        <w:t xml:space="preserve">ности рынка недвижимости, управления территориями и повышения капитализации территорий.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Генеральный директор ППК «Роскадастр» </w:t>
      </w:r>
      <w:r>
        <w:rPr>
          <w:rFonts w:eastAsia="Times New Roman"/>
          <w:b w:val="0"/>
          <w:bCs w:val="0"/>
          <w:shd w:val="clear" w:color="auto" w:fill="ffffff"/>
          <w:lang w:eastAsia="ru-RU"/>
        </w:rPr>
        <w:t xml:space="preserve">Татьяна Громова </w:t>
      </w:r>
      <w:r>
        <w:rPr>
          <w:rFonts w:eastAsia="Times New Roman"/>
          <w:b w:val="0"/>
          <w:bCs w:val="0"/>
          <w:shd w:val="clear" w:color="auto" w:fill="ffffff"/>
          <w:lang w:eastAsia="ru-RU"/>
        </w:rPr>
        <w:t xml:space="preserve">подчеркнула, что платформа НСПД позволяет стратегически управлять территорией и дает возможность гражданам и юридическим лицам за считанные минуты найти участок, территорию, оценить возможности её использования.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 5 лет многое сделано в рамках госпрограммы НСПД. Фактически уточнено 16,7 млн объектов недвижимости, земельных участков и объектов капитального строительства, внесено 461 тыс. административных границ, территориальных зон и т.д. Вместе с тем, предстоит </w:t>
      </w:r>
      <w:r>
        <w:rPr>
          <w:rFonts w:eastAsia="Times New Roman"/>
          <w:b w:val="0"/>
          <w:bCs w:val="0"/>
          <w:shd w:val="clear" w:color="auto" w:fill="ffffff"/>
          <w:lang w:eastAsia="ru-RU"/>
        </w:rPr>
        <w:t xml:space="preserve">большая работа по реализации Закона № 344-ФЗ, в рамках которого ППК «Роскадастр» на основе соглашений с субъектами РФ проводит инвентаризацию территорий и выявляет новые участки для вовлечения в оборот. Они формируются и отражаются на НСПД в трех сервисах:</w:t>
      </w:r>
      <w:r>
        <w:rPr>
          <w:rFonts w:eastAsia="Times New Roman"/>
          <w:b w:val="0"/>
          <w:bCs w:val="0"/>
          <w:shd w:val="clear" w:color="auto" w:fill="ffffff"/>
          <w:lang w:eastAsia="ru-RU"/>
        </w:rPr>
        <w:t xml:space="preserve"> «Земля для стройки», «Земля для туризма» и «Земля для фермера». Кроме того, у нас есть резервы в оформлении тех объектов, которые существуют, и здесь нам помогает сервис НСПД «Умный кадастр». На основе технологий ИИ он позволяет массово выявлять неоформле</w:t>
      </w:r>
      <w:r>
        <w:rPr>
          <w:rFonts w:eastAsia="Times New Roman"/>
          <w:b w:val="0"/>
          <w:bCs w:val="0"/>
          <w:shd w:val="clear" w:color="auto" w:fill="ffffff"/>
          <w:lang w:eastAsia="ru-RU"/>
        </w:rPr>
        <w:t xml:space="preserve">нные земельные участки, объекты капитального строительства и участки с признаками самовольного занятия»</w:t>
      </w:r>
      <w:r>
        <w:rPr>
          <w:rFonts w:eastAsia="Times New Roman"/>
          <w:b w:val="0"/>
          <w:bCs w:val="0"/>
          <w:shd w:val="clear" w:color="auto" w:fill="ffffff"/>
          <w:lang w:eastAsia="ru-RU"/>
        </w:rPr>
        <w:t xml:space="preserve">, - сообщила </w:t>
      </w:r>
      <w:r>
        <w:rPr>
          <w:rFonts w:eastAsia="Times New Roman"/>
          <w:b w:val="0"/>
          <w:bCs w:val="0"/>
          <w:shd w:val="clear" w:color="auto" w:fill="ffffff"/>
          <w:lang w:eastAsia="ru-RU"/>
        </w:rPr>
        <w:t xml:space="preserve">Татьяна Громова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Директор Единого научно-исследовательского и проектного института пространственного планирования РФ </w:t>
      </w:r>
      <w:r>
        <w:rPr>
          <w:rFonts w:eastAsia="Times New Roman"/>
          <w:b w:val="0"/>
          <w:bCs w:val="0"/>
          <w:shd w:val="clear" w:color="auto" w:fill="ffffff"/>
          <w:lang w:eastAsia="ru-RU"/>
        </w:rPr>
        <w:t xml:space="preserve">Дина Саттарова </w:t>
      </w:r>
      <w:r>
        <w:rPr>
          <w:rFonts w:eastAsia="Times New Roman"/>
          <w:b w:val="0"/>
          <w:bCs w:val="0"/>
          <w:shd w:val="clear" w:color="auto" w:fill="ffffff"/>
          <w:lang w:eastAsia="ru-RU"/>
        </w:rPr>
        <w:t xml:space="preserve">рассказала о совместной работе с Минстроем России и Росреестром по воссоединенным регионам. Она обратила особое внимание, что благодаря цифровой интеграции информационных систем института и платформы НСПД эффективно решаются задачи сокращения сроков формир</w:t>
      </w:r>
      <w:r>
        <w:rPr>
          <w:rFonts w:eastAsia="Times New Roman"/>
          <w:b w:val="0"/>
          <w:bCs w:val="0"/>
          <w:shd w:val="clear" w:color="auto" w:fill="ffffff"/>
          <w:lang w:eastAsia="ru-RU"/>
        </w:rPr>
        <w:t xml:space="preserve">ования и предоставления земельных участков для целей инвестиционного, жилищного и иного строительства. Для воссоединенных регионов, где необходимо оперативно восстанавливать инфраструктуру, жилой фонд, социальные объекты, это особенно важно.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Отметим, на территории Донецкой и Луганской народных республик, Херсонской и Запорожской областей платформа НСПД стала универсальным инструментом для работы с землей и недвижимостью. Уже более 800 сотрудников органов власти данных регионов прошли обучение </w:t>
      </w:r>
      <w:r>
        <w:rPr>
          <w:rFonts w:eastAsia="Times New Roman"/>
          <w:b w:val="0"/>
          <w:bCs w:val="0"/>
          <w:shd w:val="clear" w:color="auto" w:fill="ffffff"/>
          <w:lang w:eastAsia="ru-RU"/>
        </w:rPr>
        <w:t xml:space="preserve">и работают в системе.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Заместитель генерального директора ОАО «РЖД» </w:t>
      </w:r>
      <w:r>
        <w:rPr>
          <w:rFonts w:eastAsia="Times New Roman"/>
          <w:b w:val="0"/>
          <w:bCs w:val="0"/>
          <w:shd w:val="clear" w:color="auto" w:fill="ffffff"/>
          <w:lang w:eastAsia="ru-RU"/>
        </w:rPr>
        <w:t xml:space="preserve">Екатерина Кривошеева </w:t>
      </w:r>
      <w:r>
        <w:rPr>
          <w:rFonts w:eastAsia="Times New Roman"/>
          <w:b w:val="0"/>
          <w:bCs w:val="0"/>
          <w:shd w:val="clear" w:color="auto" w:fill="ffffff"/>
          <w:lang w:eastAsia="ru-RU"/>
        </w:rPr>
        <w:t xml:space="preserve">в своем выступлении отметила, что компания активно реализует комплексные инфраструктурные проекты, которые работают на пространственное развитие страны и позволят получить синергетический эффект. Без такого цифрового инструмента, как НСПД, это невозможно. </w:t>
      </w:r>
      <w:r>
        <w:rPr>
          <w:rFonts w:eastAsia="Times New Roman"/>
          <w:b w:val="0"/>
          <w:bCs w:val="0"/>
          <w:shd w:val="clear" w:color="auto" w:fill="ffffff"/>
          <w:lang w:eastAsia="ru-RU"/>
        </w:rPr>
        <w:t xml:space="preserve">ОАО «РЖД» проводит активную работу по наполнению платформы своими данными, которые позволят повышать капитализацию страны.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Мы активно работаем с Росреестром, и уверена, через год покажем результат, на который рассчитываем при интеграции наших систем</w:t>
      </w: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 отметила она.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Заместитель генерального директора по правовому обеспечению ПАО «Россети» </w:t>
      </w:r>
      <w:r>
        <w:rPr>
          <w:rFonts w:eastAsia="Times New Roman"/>
          <w:b w:val="0"/>
          <w:bCs w:val="0"/>
          <w:shd w:val="clear" w:color="auto" w:fill="ffffff"/>
          <w:lang w:eastAsia="ru-RU"/>
        </w:rPr>
        <w:t xml:space="preserve">Даниил Краинский</w:t>
      </w:r>
      <w:r>
        <w:rPr>
          <w:rFonts w:eastAsia="Times New Roman"/>
          <w:b w:val="0"/>
          <w:bCs w:val="0"/>
          <w:shd w:val="clear" w:color="auto" w:fill="ffffff"/>
          <w:lang w:eastAsia="ru-RU"/>
        </w:rPr>
        <w:t xml:space="preserve"> отметил, что с помощью НСПД компания планирует оптимизировать процессы. «Россети» заинтересованы в создании интеграционной платформы, на которой будут собраны все данные о землях, где расположены объекты компании. Это позволит эффективно следить за их сод</w:t>
      </w:r>
      <w:r>
        <w:rPr>
          <w:rFonts w:eastAsia="Times New Roman"/>
          <w:b w:val="0"/>
          <w:bCs w:val="0"/>
          <w:shd w:val="clear" w:color="auto" w:fill="ffffff"/>
          <w:lang w:eastAsia="ru-RU"/>
        </w:rPr>
        <w:t xml:space="preserve">ержанием и эксплуатацией. Он призвал все инфраструктурные и госкомпании подключиться к работе с НСПД.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Заместитель гендиректора, директор по развитию городской среды АО «ДОМ.РФ» </w:t>
      </w:r>
      <w:r>
        <w:rPr>
          <w:rFonts w:eastAsia="Times New Roman"/>
          <w:b w:val="0"/>
          <w:bCs w:val="0"/>
          <w:shd w:val="clear" w:color="auto" w:fill="ffffff"/>
          <w:lang w:eastAsia="ru-RU"/>
        </w:rPr>
        <w:t xml:space="preserve">Антон Финогенов</w:t>
      </w:r>
      <w:r>
        <w:rPr>
          <w:rFonts w:eastAsia="Times New Roman"/>
          <w:b w:val="0"/>
          <w:bCs w:val="0"/>
          <w:shd w:val="clear" w:color="auto" w:fill="ffffff"/>
          <w:lang w:eastAsia="ru-RU"/>
        </w:rPr>
        <w:t xml:space="preserve"> подчеркнул, что НСПД является базовой инфраструктурой в работе компании. ДОМ.PФ тесно взаимодействует с регионами и на практике сталкивается с разрозненностью информационных систем и геопространственных данных. Именно поэтому так важно реализовать на плат</w:t>
      </w:r>
      <w:r>
        <w:rPr>
          <w:rFonts w:eastAsia="Times New Roman"/>
          <w:b w:val="0"/>
          <w:bCs w:val="0"/>
          <w:shd w:val="clear" w:color="auto" w:fill="ffffff"/>
          <w:lang w:eastAsia="ru-RU"/>
        </w:rPr>
        <w:t xml:space="preserve">форме единый реестр данных. Также он предложил создать сервис НСПД по разработке проектов межевания территорий, что значительным образом продвинет выполнение общей стратегической задачи пространственного планирования.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Министр Правительства Москвы, руководитель Департамента городского имущества </w:t>
      </w:r>
      <w:r>
        <w:rPr>
          <w:rFonts w:eastAsia="Times New Roman"/>
          <w:b w:val="0"/>
          <w:bCs w:val="0"/>
          <w:shd w:val="clear" w:color="auto" w:fill="ffffff"/>
          <w:lang w:eastAsia="ru-RU"/>
        </w:rPr>
        <w:t xml:space="preserve">Екатерина Соловьева</w:t>
      </w:r>
      <w:r>
        <w:rPr>
          <w:rFonts w:eastAsia="Times New Roman"/>
          <w:b w:val="0"/>
          <w:bCs w:val="0"/>
          <w:shd w:val="clear" w:color="auto" w:fill="ffffff"/>
          <w:lang w:eastAsia="ru-RU"/>
        </w:rPr>
        <w:t xml:space="preserve"> отметила, что пространственные данные - это не про карты, а про скорость, качество и доверие общества государству. Она рассказала, что Департамент оказывает около </w:t>
      </w:r>
      <w:r>
        <w:rPr>
          <w:rFonts w:eastAsia="Times New Roman"/>
          <w:b w:val="0"/>
          <w:bCs w:val="0"/>
          <w:shd w:val="clear" w:color="auto" w:fill="ffffff"/>
          <w:lang w:eastAsia="ru-RU"/>
        </w:rPr>
        <w:t xml:space="preserve">30</w:t>
      </w:r>
      <w:r>
        <w:rPr>
          <w:rFonts w:eastAsia="Times New Roman"/>
          <w:b w:val="0"/>
          <w:bCs w:val="0"/>
          <w:shd w:val="clear" w:color="auto" w:fill="ffffff"/>
          <w:lang w:eastAsia="ru-RU"/>
        </w:rPr>
        <w:t xml:space="preserve"> государственных услуг в сфере земельно-имущественных отношений. Все они в электронном виде, поэтому гражданам необходима полноценная, точная геопространственная система. В рамках подписанной на ПМЭФ-2026 дорожной карты с Росреестром Департамент готов напо</w:t>
      </w:r>
      <w:r>
        <w:rPr>
          <w:rFonts w:eastAsia="Times New Roman"/>
          <w:b w:val="0"/>
          <w:bCs w:val="0"/>
          <w:shd w:val="clear" w:color="auto" w:fill="ffffff"/>
          <w:lang w:eastAsia="ru-RU"/>
        </w:rPr>
        <w:t xml:space="preserve">лнять НСПД своими данными и применять их на практике, оказывая государственные услуги.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Ректор Московского государственного университета геодезии и картографии (МИИГАиК) </w:t>
      </w:r>
      <w:r>
        <w:rPr>
          <w:rFonts w:eastAsia="Times New Roman"/>
          <w:b w:val="0"/>
          <w:bCs w:val="0"/>
          <w:shd w:val="clear" w:color="auto" w:fill="ffffff"/>
          <w:lang w:eastAsia="ru-RU"/>
        </w:rPr>
        <w:t xml:space="preserve">Надежда Камынина</w:t>
      </w:r>
      <w:r>
        <w:rPr>
          <w:rFonts w:eastAsia="Times New Roman"/>
          <w:b w:val="0"/>
          <w:bCs w:val="0"/>
          <w:shd w:val="clear" w:color="auto" w:fill="ffffff"/>
          <w:lang w:eastAsia="ru-RU"/>
        </w:rPr>
        <w:t xml:space="preserve"> в своем выступлении подчеркнула, что пространственное развитие и капитализация страны в целом невозможны без формирования человеческого капитала. Она отметила, что государство должно участвовать в заказе профессионалов для будущего устойчивого развития ст</w:t>
      </w:r>
      <w:r>
        <w:rPr>
          <w:rFonts w:eastAsia="Times New Roman"/>
          <w:b w:val="0"/>
          <w:bCs w:val="0"/>
          <w:shd w:val="clear" w:color="auto" w:fill="ffffff"/>
          <w:lang w:eastAsia="ru-RU"/>
        </w:rPr>
        <w:t xml:space="preserve">раны. Так, на базе консорциума вузов, созданного Росреестром совместно с Минобрнауки и МИИГАиК, обучение прошли порядка </w:t>
      </w:r>
      <w:r>
        <w:rPr>
          <w:rFonts w:eastAsia="Times New Roman"/>
          <w:b w:val="0"/>
          <w:bCs w:val="0"/>
          <w:shd w:val="clear" w:color="auto" w:fill="ffffff"/>
          <w:lang w:eastAsia="ru-RU"/>
        </w:rPr>
        <w:t xml:space="preserve">10 тыс. </w:t>
      </w:r>
      <w:r>
        <w:rPr>
          <w:rFonts w:eastAsia="Times New Roman"/>
          <w:b w:val="0"/>
          <w:bCs w:val="0"/>
          <w:shd w:val="clear" w:color="auto" w:fill="ffffff"/>
          <w:lang w:eastAsia="ru-RU"/>
        </w:rPr>
        <w:t xml:space="preserve">сотрудников системы Большого Росреестра. Совместно с ведомством уже открыты две Школы НСПД по работе с пространственными данными - пилотным регионом в 2025 году стала Сахалинская область, а в конце апреля 2026 года к проекту присоединился Ставропольский кр</w:t>
      </w:r>
      <w:r>
        <w:rPr>
          <w:rFonts w:eastAsia="Times New Roman"/>
          <w:b w:val="0"/>
          <w:bCs w:val="0"/>
          <w:shd w:val="clear" w:color="auto" w:fill="ffffff"/>
          <w:lang w:eastAsia="ru-RU"/>
        </w:rPr>
        <w:t xml:space="preserve">ай. В этом году планируется сделать акцент на обучении региональных управленческих команд.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завершение панельной сессии </w:t>
      </w:r>
      <w:r>
        <w:rPr>
          <w:rFonts w:eastAsia="Times New Roman"/>
          <w:b w:val="0"/>
          <w:bCs w:val="0"/>
          <w:shd w:val="clear" w:color="auto" w:fill="ffffff"/>
          <w:lang w:eastAsia="ru-RU"/>
        </w:rPr>
        <w:t xml:space="preserve">Олег Скуфинский </w:t>
      </w:r>
      <w:r>
        <w:rPr>
          <w:rFonts w:eastAsia="Times New Roman"/>
          <w:b w:val="0"/>
          <w:bCs w:val="0"/>
          <w:shd w:val="clear" w:color="auto" w:fill="ffffff"/>
          <w:lang w:eastAsia="ru-RU"/>
        </w:rPr>
        <w:t xml:space="preserve">поблагодарил участников и подчеркнул, что эффективность и качество работы платформы НСПД – это результат совместной работы ведомства, федеральных органов исполнительной власти и региональных команд. Дальнейшее внедрение системы и расширение её функционала </w:t>
      </w:r>
      <w:r>
        <w:rPr>
          <w:rFonts w:eastAsia="Times New Roman"/>
          <w:b w:val="0"/>
          <w:bCs w:val="0"/>
          <w:shd w:val="clear" w:color="auto" w:fill="ffffff"/>
          <w:lang w:eastAsia="ru-RU"/>
        </w:rPr>
        <w:t xml:space="preserve">зависит от вклада каждого участника проекта.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8. </w:t>
      </w:r>
      <w:r>
        <w:rPr>
          <w:rFonts w:eastAsia="Times New Roman"/>
          <w:b/>
          <w:bCs/>
          <w:shd w:val="clear" w:color="auto" w:fill="ffffff"/>
          <w:lang w:eastAsia="ru-RU"/>
        </w:rPr>
        <w:t xml:space="preserve">Как выделить доли детям по материнскому капиталу?</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Одной из мер государственной поддержки российских семей является материнский капитал. Это государственная социальная программа, которая действует с 2007 года в рамках проекта «Демография». С 2020 года выплаты положены также за рождение первого ребенка.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Вы</w:t>
      </w:r>
      <w:r>
        <w:rPr>
          <w:rFonts w:eastAsia="Times New Roman"/>
          <w:b w:val="0"/>
          <w:bCs w:val="0"/>
          <w:shd w:val="clear" w:color="auto" w:fill="ffffff"/>
          <w:lang w:eastAsia="ru-RU"/>
        </w:rPr>
        <w:t xml:space="preserve">деление долей детям – обязательный этап при покупке недвижимости с использованием материнского капитала.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Оформить доли нужно всем членам семьи: супругам и всем детям, включая несовершеннолетних и совершеннолетних.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Срок заключения соглашения зависит от то</w:t>
      </w:r>
      <w:r>
        <w:rPr>
          <w:rFonts w:eastAsia="Times New Roman"/>
          <w:b w:val="0"/>
          <w:bCs w:val="0"/>
          <w:shd w:val="clear" w:color="auto" w:fill="ffffff"/>
          <w:lang w:eastAsia="ru-RU"/>
        </w:rPr>
        <w:t xml:space="preserve">го, как именно была приобретена недвижимость:</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1"/>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июля 2025 года при приобретении недвижимости в ипотеку, согласие банка на выделение долей не требуется, доли можно определить в любой момент, если даже ипотека не погашена;</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1"/>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 приобретении без ипотеки, доли можно выделить сразу при оформлении права собственности.</w:t>
      </w:r>
      <w:r>
        <w:rPr>
          <w:rFonts w:eastAsia="Times New Roman"/>
          <w:b w:val="0"/>
          <w:bCs w:val="0"/>
          <w:lang w:eastAsia="ru-RU"/>
          <w14:ligatures w14:val="none"/>
        </w:rPr>
      </w:r>
      <w:r>
        <w:rPr>
          <w:rFonts w:eastAsia="Times New Roman"/>
          <w:b w:val="0"/>
          <w:bCs w:val="0"/>
          <w:lang w:eastAsia="ru-RU"/>
          <w14:ligatures w14:val="none"/>
        </w:rPr>
      </w:r>
    </w:p>
    <w:p>
      <w:pPr>
        <w:ind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Планируя покупку нужно помнить, что средства материнского капитала можно потратить только на приобретение жилого помещения.</w:t>
      </w:r>
      <w:r>
        <w:rPr>
          <w:rFonts w:eastAsia="Times New Roman"/>
          <w:b w:val="0"/>
          <w:bCs w:val="0"/>
          <w:lang w:eastAsia="ru-RU"/>
          <w14:ligatures w14:val="none"/>
        </w:rPr>
      </w:r>
      <w:r>
        <w:rPr>
          <w:rFonts w:eastAsia="Times New Roman"/>
          <w:b w:val="0"/>
          <w:bCs w:val="0"/>
          <w:lang w:eastAsia="ru-RU"/>
          <w14:ligatures w14:val="none"/>
        </w:rPr>
      </w:r>
    </w:p>
    <w:p>
      <w:pPr>
        <w:ind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Приобрести земельный участок на эти средства нельзя. В случае приобретения жилого дома и земли, необходимо для регистрации прав на </w:t>
      </w:r>
      <w:r>
        <w:rPr>
          <w:rFonts w:eastAsia="Times New Roman"/>
          <w:b w:val="0"/>
          <w:bCs w:val="0"/>
          <w:shd w:val="clear" w:color="auto" w:fill="ffffff"/>
          <w:lang w:eastAsia="ru-RU"/>
        </w:rPr>
        <w:t xml:space="preserve">дом составить соглашение о выделении долей (возможно в простой письменной форме). Для оформления прав на землю обратиться к нотариусу за удостоверением договора дарения долей.</w:t>
      </w:r>
      <w:r>
        <w:rPr>
          <w:rFonts w:eastAsia="Times New Roman"/>
          <w:b w:val="0"/>
          <w:bCs w:val="0"/>
          <w:lang w:eastAsia="ru-RU"/>
          <w14:ligatures w14:val="none"/>
        </w:rPr>
      </w:r>
      <w:r>
        <w:rPr>
          <w:rFonts w:eastAsia="Times New Roman"/>
          <w:b w:val="0"/>
          <w:bCs w:val="0"/>
          <w:lang w:eastAsia="ru-RU"/>
          <w14:ligatures w14:val="none"/>
        </w:rPr>
      </w:r>
    </w:p>
    <w:p>
      <w:pPr>
        <w:ind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Размер долей должен быть пропорционален сумме материнского капитала в общей сто</w:t>
      </w:r>
      <w:r>
        <w:rPr>
          <w:rFonts w:eastAsia="Times New Roman"/>
          <w:b w:val="0"/>
          <w:bCs w:val="0"/>
          <w:shd w:val="clear" w:color="auto" w:fill="ffffff"/>
          <w:lang w:eastAsia="ru-RU"/>
        </w:rPr>
        <w:t xml:space="preserve">имости приобретаемой недвижимости.</w:t>
      </w:r>
      <w:r>
        <w:rPr>
          <w:rFonts w:eastAsia="Times New Roman"/>
          <w:b w:val="0"/>
          <w:bCs w:val="0"/>
          <w:lang w:eastAsia="ru-RU"/>
          <w14:ligatures w14:val="none"/>
        </w:rPr>
      </w:r>
      <w:r>
        <w:rPr>
          <w:rFonts w:eastAsia="Times New Roman"/>
          <w:b w:val="0"/>
          <w:bCs w:val="0"/>
          <w:lang w:eastAsia="ru-RU"/>
          <w14:ligatures w14:val="none"/>
        </w:rPr>
      </w:r>
    </w:p>
    <w:p>
      <w:pPr>
        <w:ind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Родители также могут увеличить доли детей, однако в этом случае, соглашение приобретает элементы договоры дарения, который подлежит обязательному нотариальному удостоверению. </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lang w:eastAsia="ru-RU"/>
          <w14:ligatures w14:val="none"/>
        </w:rPr>
        <w:pBdr>
          <w:top w:val="none" w:color="000000" w:sz="4" w:space="0"/>
          <w:left w:val="none" w:color="000000" w:sz="4" w:space="0"/>
          <w:bottom w:val="none" w:color="000000" w:sz="4" w:space="0"/>
          <w:right w:val="none" w:color="000000" w:sz="4" w:space="0"/>
        </w:pBdr>
      </w:pPr>
      <w:r>
        <w:rPr>
          <w:b/>
          <w:bCs/>
          <w:color w:val="000000" w:themeColor="text1"/>
          <w14:ligatures w14:val="none"/>
        </w:rPr>
        <w:t xml:space="preserve">9.</w:t>
      </w:r>
      <w:r>
        <w:rPr>
          <w:b/>
          <w:bCs/>
          <w:highlight w:val="none"/>
        </w:rPr>
        <w:t xml:space="preserve"> </w:t>
      </w:r>
      <w:r>
        <w:rPr>
          <w:rFonts w:eastAsia="Times New Roman"/>
          <w:b/>
          <w:bCs/>
          <w:shd w:val="clear" w:color="auto" w:fill="ffffff"/>
          <w:lang w:eastAsia="ru-RU"/>
        </w:rPr>
        <w:t xml:space="preserve">Росреестр подвел итоги работы на ПМЭФ-2026</w:t>
      </w:r>
      <w:r>
        <w:rPr>
          <w:rFonts w:eastAsia="Times New Roman"/>
          <w:b/>
          <w:bCs/>
          <w:lang w:eastAsia="ru-RU"/>
          <w14:ligatures w14:val="none"/>
        </w:rPr>
        <w:t xml:space="preserve">.</w:t>
      </w:r>
      <w:r>
        <w:rPr>
          <w:rFonts w:eastAsia="Times New Roman"/>
          <w:b/>
          <w:bCs/>
          <w:lang w:eastAsia="ru-RU"/>
          <w14:ligatures w14:val="none"/>
        </w:rPr>
      </w:r>
      <w:r>
        <w:rPr>
          <w:rFonts w:eastAsia="Times New Roman"/>
          <w:b/>
          <w:bCs/>
          <w:lang w:eastAsia="ru-RU"/>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 Росреестра была насыщенная повестка на полях Петербургского международного экономического форума. Служба стала организатором и участником целого ряда профильных мероприятий.</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Центральным событием стала </w:t>
      </w:r>
      <w:hyperlink r:id="rId24" w:tooltip="https://rosreestr.gov.ru/press/archive/rosreestr-na-pmef-predstavil-nspd-kak-effektivnyy-instrument-povysheniya-kapitalizatsii-strany/" w:history="1">
        <w:r>
          <w:rPr>
            <w:rFonts w:eastAsia="Times New Roman"/>
            <w:b w:val="0"/>
            <w:bCs w:val="0"/>
            <w:shd w:val="clear" w:color="auto" w:fill="ffffff"/>
            <w:lang w:eastAsia="ru-RU"/>
          </w:rPr>
          <w:t xml:space="preserve">панельная сессия</w:t>
        </w:r>
      </w:hyperlink>
      <w:r>
        <w:rPr>
          <w:rFonts w:eastAsia="Times New Roman"/>
          <w:b w:val="0"/>
          <w:bCs w:val="0"/>
          <w:shd w:val="clear" w:color="auto" w:fill="ffffff"/>
          <w:lang w:eastAsia="ru-RU"/>
        </w:rPr>
        <w:t xml:space="preserve"> «Пространственное развитие как инструмент капитализации страны», в которой приняли участие представители федеральных органов власти, профильных структур, институтов развития, а также зарубежные эксперты.</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Ключевой вопрос - внедрение и развитие геоинформационных систем в России и за рубежом. Эта работа напрямую влияет на пространственное развитие и рост экономики. В нашей стране таким драйвером и универсальным инструментом выступает цифровая платформа «Нацио</w:t>
      </w:r>
      <w:r>
        <w:rPr>
          <w:rFonts w:eastAsia="Times New Roman"/>
          <w:b w:val="0"/>
          <w:bCs w:val="0"/>
          <w:shd w:val="clear" w:color="auto" w:fill="ffffff"/>
          <w:lang w:eastAsia="ru-RU"/>
        </w:rPr>
        <w:t xml:space="preserve">нальная система пространственных данных». В том числе она является эффективным механизмом для решения поставленной Президентом РФ задачи по повышению капитализации страны.</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Также на площадке ПМЭФ состоялось подписание целого ряда стратегически важных документов:</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hyperlink r:id="rId25" w:tooltip="https://rosreestr.gov.ru/press/archive/pmef-2026-rosreestr-i-pravitelstvo-moskvy-podpisali-kompleksnuyu-dorozhnuyu-kartu/" w:history="1">
        <w:r>
          <w:rPr>
            <w:rFonts w:eastAsia="Times New Roman"/>
            <w:b w:val="0"/>
            <w:bCs w:val="0"/>
            <w:shd w:val="clear" w:color="auto" w:fill="ffffff"/>
            <w:lang w:eastAsia="ru-RU"/>
          </w:rPr>
          <w:t xml:space="preserve">комплексного плана мероприятий</w:t>
        </w:r>
      </w:hyperlink>
      <w:r>
        <w:rPr>
          <w:rFonts w:eastAsia="Times New Roman"/>
          <w:b w:val="0"/>
          <w:bCs w:val="0"/>
          <w:shd w:val="clear" w:color="auto" w:fill="ffffff"/>
          <w:lang w:eastAsia="ru-RU"/>
        </w:rPr>
        <w:t xml:space="preserve"> (дорожной карты) с Правительством Москвы;</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hyperlink r:id="rId26" w:tooltip="https://rosreestr.gov.ru/press/archive/rosreestr-na-pmef-2026-podpisal-2-memoranduma-o-vzaimoponimanii-s-profilnymi-vedomstvami-nikaragua/" w:history="1">
        <w:r>
          <w:rPr>
            <w:rFonts w:eastAsia="Times New Roman"/>
            <w:b w:val="0"/>
            <w:bCs w:val="0"/>
            <w:shd w:val="clear" w:color="auto" w:fill="ffffff"/>
            <w:lang w:eastAsia="ru-RU"/>
          </w:rPr>
          <w:t xml:space="preserve">меморандумов о взаимопонимании и сотрудничестве</w:t>
        </w:r>
      </w:hyperlink>
      <w:r>
        <w:rPr>
          <w:rFonts w:eastAsia="Times New Roman"/>
          <w:b w:val="0"/>
          <w:bCs w:val="0"/>
          <w:shd w:val="clear" w:color="auto" w:fill="ffffff"/>
          <w:lang w:eastAsia="ru-RU"/>
        </w:rPr>
        <w:t xml:space="preserve"> Росреестра с Генеральной прокуратурой юстиции и Никарагуанским институтом территориальных исследований;</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соглашений о сотрудничестве между </w:t>
      </w:r>
      <w:hyperlink r:id="rId27" w:tooltip="https://rosreestr.gov.ru/press/archive/ppk-roskadastr-i-miigaik-konsolidiruyut-nauchnyy-potentsial-i-proizvodstvennye-resursy/" w:history="1">
        <w:r>
          <w:rPr>
            <w:rFonts w:eastAsia="Times New Roman"/>
            <w:b w:val="0"/>
            <w:bCs w:val="0"/>
            <w:shd w:val="clear" w:color="auto" w:fill="ffffff"/>
            <w:lang w:eastAsia="ru-RU"/>
          </w:rPr>
          <w:t xml:space="preserve">ППК «Роскадастр» и МИИГАиК</w:t>
        </w:r>
      </w:hyperlink>
      <w:r>
        <w:rPr>
          <w:rFonts w:eastAsia="Times New Roman"/>
          <w:b w:val="0"/>
          <w:bCs w:val="0"/>
          <w:shd w:val="clear" w:color="auto" w:fill="ffffff"/>
          <w:lang w:eastAsia="ru-RU"/>
        </w:rPr>
        <w:t xml:space="preserve">, а также между </w:t>
      </w:r>
      <w:hyperlink r:id="rId28" w:tooltip="https://rosreestr.gov.ru/press/archive/ppk-roskadastr-i-oao-rzhd-dogovorilis-o-sotrudnichestve-v-sfere-ucheta-obektov-nedvizhimosti/" w:history="1">
        <w:r>
          <w:rPr>
            <w:rFonts w:eastAsia="Times New Roman"/>
            <w:b w:val="0"/>
            <w:bCs w:val="0"/>
            <w:shd w:val="clear" w:color="auto" w:fill="ffffff"/>
            <w:lang w:eastAsia="ru-RU"/>
          </w:rPr>
          <w:t xml:space="preserve">ППК «Роскадастр» и ОАО «РЖД»</w:t>
        </w:r>
      </w:hyperlink>
      <w:r>
        <w:rPr>
          <w:rFonts w:eastAsia="Times New Roman"/>
          <w:b w:val="0"/>
          <w:bCs w:val="0"/>
          <w:shd w:val="clear" w:color="auto" w:fill="ffffff"/>
          <w:lang w:eastAsia="ru-RU"/>
        </w:rPr>
        <w:t xml:space="preserve">.</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Олег Скуфинский провел </w:t>
      </w:r>
      <w:hyperlink r:id="rId29" w:tooltip="https://rosreestr.gov.ru/press/archive/rukovoditel-rosreestra-i-gubernator-tulskoy-oblasti-obsudili-voprosy-povysheniya-kapitalizatsii-regi/" w:history="1">
        <w:r>
          <w:rPr>
            <w:rFonts w:eastAsia="Times New Roman"/>
            <w:b w:val="0"/>
            <w:bCs w:val="0"/>
            <w:shd w:val="clear" w:color="auto" w:fill="ffffff"/>
            <w:lang w:eastAsia="ru-RU"/>
          </w:rPr>
          <w:t xml:space="preserve">рабочую встречу</w:t>
        </w:r>
      </w:hyperlink>
      <w:r>
        <w:rPr>
          <w:rFonts w:eastAsia="Times New Roman"/>
          <w:b w:val="0"/>
          <w:bCs w:val="0"/>
          <w:shd w:val="clear" w:color="auto" w:fill="ffffff"/>
          <w:lang w:eastAsia="ru-RU"/>
        </w:rPr>
        <w:t xml:space="preserve"> с губернатором Тульской области Дмитрием Миляевым, на которой обсудили вопросы повышения капитализации и создания полного и точного реестра недвижимости.</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Помимо этого, руководитель Службы дал интервью телеканалу </w:t>
      </w:r>
      <w:hyperlink r:id="rId30" w:tooltip="https://max.ru/rosreestr/AZ6XX29USU8" w:history="1">
        <w:r>
          <w:rPr>
            <w:rFonts w:eastAsia="Times New Roman"/>
            <w:b w:val="0"/>
            <w:bCs w:val="0"/>
            <w:shd w:val="clear" w:color="auto" w:fill="ffffff"/>
            <w:lang w:eastAsia="ru-RU"/>
          </w:rPr>
          <w:t xml:space="preserve">«Россия 24»</w:t>
        </w:r>
      </w:hyperlink>
      <w:r>
        <w:rPr>
          <w:rFonts w:eastAsia="Times New Roman"/>
          <w:b w:val="0"/>
          <w:bCs w:val="0"/>
          <w:shd w:val="clear" w:color="auto" w:fill="ffffff"/>
          <w:lang w:eastAsia="ru-RU"/>
        </w:rPr>
        <w:t xml:space="preserve"> и </w:t>
      </w:r>
      <w:hyperlink r:id="rId31" w:tooltip="https://max.ru/rosreestr/AZ6b6FLSCz0" w:history="1">
        <w:r>
          <w:rPr>
            <w:rFonts w:eastAsia="Times New Roman"/>
            <w:b w:val="0"/>
            <w:bCs w:val="0"/>
            <w:shd w:val="clear" w:color="auto" w:fill="ffffff"/>
            <w:lang w:eastAsia="ru-RU"/>
          </w:rPr>
          <w:t xml:space="preserve">информагентству ТАСС</w:t>
        </w:r>
      </w:hyperlink>
      <w:r>
        <w:rPr>
          <w:rFonts w:eastAsia="Times New Roman"/>
          <w:b w:val="0"/>
          <w:bCs w:val="0"/>
          <w:shd w:val="clear" w:color="auto" w:fill="ffffff"/>
          <w:lang w:eastAsia="ru-RU"/>
        </w:rPr>
        <w:t xml:space="preserve">.</w:t>
      </w:r>
      <w:r>
        <w:rPr>
          <w:rFonts w:eastAsia="Times New Roman"/>
          <w:b w:val="0"/>
          <w:bCs w:val="0"/>
          <w14:ligatures w14:val="none"/>
        </w:rPr>
      </w:r>
      <w:r>
        <w:rPr>
          <w:rFonts w:eastAsia="Times New Roman"/>
          <w:b w:val="0"/>
          <w:bCs w:val="0"/>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10.</w:t>
      </w:r>
      <w:r>
        <w:rPr>
          <w:rFonts w:eastAsia="Times New Roman"/>
          <w:b/>
          <w:bCs/>
          <w:shd w:val="clear" w:color="auto" w:fill="ffffff"/>
          <w:lang w:eastAsia="ru-RU"/>
        </w:rPr>
        <w:t xml:space="preserve"> </w:t>
      </w:r>
      <w:r>
        <w:rPr>
          <w:rFonts w:eastAsia="Times New Roman"/>
          <w:b/>
          <w:bCs/>
          <w:shd w:val="clear" w:color="auto" w:fill="ffffff"/>
          <w:lang w:eastAsia="ru-RU"/>
        </w:rPr>
        <w:t xml:space="preserve">Росреестр расширил перечень услуг, которые могут быть оказаны в сокращенные сроки.</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Росреестр продолжает системную работу по повышению качества государственных услуг в сфере недвижимости. Ведомство расширило список регистрационных действий, которые теперь выполняются в ускоренном порядке.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«Перечень видов регистрационных действий для физических и юридических лиц дополнен новыми позициями, что делает ряд процедур по ускоренному оформлению объектов недвижимости более удобными. Такие услуги предоставляются очень оперативно – в срок не более одн</w:t>
      </w:r>
      <w:r>
        <w:rPr>
          <w:rFonts w:eastAsia="Times New Roman"/>
          <w:b w:val="0"/>
          <w:bCs w:val="0"/>
          <w:shd w:val="clear" w:color="auto" w:fill="ffffff"/>
          <w:lang w:eastAsia="ru-RU"/>
        </w:rPr>
        <w:t xml:space="preserve">ого рабочего дня с момента подачи заявления и пакета документов. В частности, как для граждан, так и организаций теперь доступна ускоренная регистрация прав на машино-места. Кроме того, в этом же порядке можно оформить нежилые помещения, например, кладовые</w:t>
      </w:r>
      <w:r>
        <w:rPr>
          <w:rFonts w:eastAsia="Times New Roman"/>
          <w:b w:val="0"/>
          <w:bCs w:val="0"/>
          <w:shd w:val="clear" w:color="auto" w:fill="ffffff"/>
          <w:lang w:eastAsia="ru-RU"/>
        </w:rPr>
        <w:t xml:space="preserve">. Для регистрации прав на такие объекты потребуется договор купли-продажи (за исключением продажи с публичных торгов), оформленный в простой письменной форме», - </w:t>
      </w:r>
      <w:r>
        <w:rPr>
          <w:rFonts w:eastAsia="Times New Roman"/>
          <w:b w:val="0"/>
          <w:bCs w:val="0"/>
          <w:shd w:val="clear" w:color="auto" w:fill="ffffff"/>
          <w:lang w:eastAsia="ru-RU"/>
        </w:rPr>
        <w:t xml:space="preserve">сообщил статс-секретарь, заместитель руководителя Росреестра </w:t>
      </w:r>
      <w:r>
        <w:rPr>
          <w:rFonts w:eastAsia="Times New Roman"/>
          <w:b w:val="0"/>
          <w:bCs w:val="0"/>
          <w:shd w:val="clear" w:color="auto" w:fill="ffffff"/>
          <w:lang w:eastAsia="ru-RU"/>
        </w:rPr>
        <w:t xml:space="preserve">Алексей Бутовецкий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его словам, также для физических и юридических лиц конкретизирован перечень объектов недвижимости, в отношении которых не может быть осуществлена государственная регистрация ипотеки, возникающая на основании договора. Такая возможность не распространяет</w:t>
      </w:r>
      <w:r>
        <w:rPr>
          <w:rFonts w:eastAsia="Times New Roman"/>
          <w:b w:val="0"/>
          <w:bCs w:val="0"/>
          <w:shd w:val="clear" w:color="auto" w:fill="ffffff"/>
          <w:lang w:eastAsia="ru-RU"/>
        </w:rPr>
        <w:t xml:space="preserve">ся на имущественные комплексы, а также на объекты недвижимости, расположенные на территории нескольких кадастровых округов.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полным перечнем видов регистрационных действий, осуществляемых в ускоренном порядке, можно ознакомиться </w:t>
      </w:r>
      <w:hyperlink r:id="rId32" w:tooltip="https://rosreestr.gov.ru/activity/okazanie-gosudarstvennykh-uslug/kadastrovyy-uchet-i-ili-registratsiya-prav-/poryadok-uplaty-i-razmery-gosposhliny/perechen-vidov-registratsionnykh-deystviy-osushchestvlyaemykh-v-uskorennom-poryadke-a-takzhe-svedeni/" w:history="1">
        <w:r>
          <w:rPr>
            <w:rFonts w:eastAsia="Times New Roman"/>
            <w:b w:val="0"/>
            <w:bCs w:val="0"/>
            <w:shd w:val="clear" w:color="auto" w:fill="ffffff"/>
            <w:lang w:eastAsia="ru-RU"/>
          </w:rPr>
          <w:t xml:space="preserve">на сайте Росреестра</w:t>
        </w:r>
      </w:hyperlink>
      <w:r>
        <w:rPr>
          <w:rFonts w:eastAsia="Times New Roman"/>
          <w:b w:val="0"/>
          <w:bCs w:val="0"/>
          <w:shd w:val="clear" w:color="auto" w:fill="ffffff"/>
          <w:lang w:eastAsia="ru-RU"/>
        </w:rPr>
        <w:t xml:space="preserve">. Подать документы можно дистанционно - через личный кабинет на портале Службы или лично – в любом офисе МФЦ.</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11.</w:t>
      </w:r>
      <w:r>
        <w:rPr>
          <w:rFonts w:eastAsia="Times New Roman"/>
          <w:b/>
          <w:bCs/>
          <w:shd w:val="clear" w:color="auto" w:fill="ffffff"/>
          <w:lang w:eastAsia="ru-RU"/>
        </w:rPr>
        <w:t xml:space="preserve"> </w:t>
      </w:r>
      <w:r>
        <w:rPr>
          <w:rFonts w:eastAsia="Times New Roman"/>
          <w:b/>
          <w:bCs/>
          <w:shd w:val="clear" w:color="auto" w:fill="ffffff"/>
          <w:lang w:eastAsia="ru-RU"/>
        </w:rPr>
        <w:t xml:space="preserve">C начала года россияне установили более 2,5 млн запретов на регистрацию сделок с недвижимостью без личного участия собственника.</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января по май 2026 года в Росреестр поступило свыше </w:t>
      </w:r>
      <w:r>
        <w:rPr>
          <w:rFonts w:eastAsia="Times New Roman"/>
          <w:b w:val="0"/>
          <w:bCs w:val="0"/>
          <w:shd w:val="clear" w:color="auto" w:fill="ffffff"/>
          <w:lang w:eastAsia="ru-RU"/>
        </w:rPr>
        <w:t xml:space="preserve">2,5 млн</w:t>
      </w:r>
      <w:r>
        <w:rPr>
          <w:rFonts w:eastAsia="Times New Roman"/>
          <w:b w:val="0"/>
          <w:bCs w:val="0"/>
          <w:shd w:val="clear" w:color="auto" w:fill="ffffff"/>
          <w:lang w:eastAsia="ru-RU"/>
        </w:rPr>
        <w:t xml:space="preserve"> заявлений о запрете регистрации сделок без личного участия собственника. Это более чем </w:t>
      </w:r>
      <w:r>
        <w:rPr>
          <w:rFonts w:eastAsia="Times New Roman"/>
          <w:b w:val="0"/>
          <w:bCs w:val="0"/>
          <w:shd w:val="clear" w:color="auto" w:fill="ffffff"/>
          <w:lang w:eastAsia="ru-RU"/>
        </w:rPr>
        <w:t xml:space="preserve">в 2 раза</w:t>
      </w:r>
      <w:r>
        <w:rPr>
          <w:rFonts w:eastAsia="Times New Roman"/>
          <w:b w:val="0"/>
          <w:bCs w:val="0"/>
          <w:shd w:val="clear" w:color="auto" w:fill="ffffff"/>
          <w:lang w:eastAsia="ru-RU"/>
        </w:rPr>
        <w:t xml:space="preserve"> превышает показатели за аналогичный период прошлого года (</w:t>
      </w:r>
      <w:r>
        <w:rPr>
          <w:rFonts w:eastAsia="Times New Roman"/>
          <w:b w:val="0"/>
          <w:bCs w:val="0"/>
          <w:shd w:val="clear" w:color="auto" w:fill="ffffff"/>
          <w:lang w:eastAsia="ru-RU"/>
        </w:rPr>
        <w:t xml:space="preserve">1,2 млн</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«Оказание государственной услуги по установлению запрета на регистрацию сделок с недвижимым имуществом без личного участия собственника – это эффективный инструмент защиты недвижимости от мошеннических действий. Анализируя динамику по оказанию ведомством д</w:t>
      </w:r>
      <w:r>
        <w:rPr>
          <w:rFonts w:eastAsia="Times New Roman"/>
          <w:b w:val="0"/>
          <w:bCs w:val="0"/>
          <w:shd w:val="clear" w:color="auto" w:fill="ffffff"/>
          <w:lang w:eastAsia="ru-RU"/>
        </w:rPr>
        <w:t xml:space="preserve">анной услуги, можно с уверенностью сказать, что этот механизм становится одним из ключевых элементов «цифровой самозащиты» граждан. Лидером среди округов по установлению запрета на регистрацию сделок без личного участия является Центральный федеральный окр</w:t>
      </w:r>
      <w:r>
        <w:rPr>
          <w:rFonts w:eastAsia="Times New Roman"/>
          <w:b w:val="0"/>
          <w:bCs w:val="0"/>
          <w:shd w:val="clear" w:color="auto" w:fill="ffffff"/>
          <w:lang w:eastAsia="ru-RU"/>
        </w:rPr>
        <w:t xml:space="preserve">уг, где услугой в текущем году уже воспользовались более </w:t>
      </w:r>
      <w:r>
        <w:rPr>
          <w:rFonts w:eastAsia="Times New Roman"/>
          <w:b w:val="0"/>
          <w:bCs w:val="0"/>
          <w:shd w:val="clear" w:color="auto" w:fill="ffffff"/>
          <w:lang w:eastAsia="ru-RU"/>
        </w:rPr>
        <w:t xml:space="preserve">815 тыс. граждан</w:t>
      </w:r>
      <w:r>
        <w:rPr>
          <w:rFonts w:eastAsia="Times New Roman"/>
          <w:b w:val="0"/>
          <w:bCs w:val="0"/>
          <w:shd w:val="clear" w:color="auto" w:fill="ffffff"/>
          <w:lang w:eastAsia="ru-RU"/>
        </w:rPr>
        <w:t xml:space="preserve">. В первую очередь это связано с большим количеством объектов недвижимости в крупных мегаполисах, особенно в Москве и Московской области, где рынок жилья наиболее активен»</w:t>
      </w:r>
      <w:r>
        <w:rPr>
          <w:rFonts w:eastAsia="Times New Roman"/>
          <w:b w:val="0"/>
          <w:bCs w:val="0"/>
          <w:shd w:val="clear" w:color="auto" w:fill="ffffff"/>
          <w:lang w:eastAsia="ru-RU"/>
        </w:rPr>
        <w:t xml:space="preserve">, – прокомментировал </w:t>
      </w:r>
      <w:r>
        <w:rPr>
          <w:rFonts w:eastAsia="Times New Roman"/>
          <w:b w:val="0"/>
          <w:bCs w:val="0"/>
          <w:shd w:val="clear" w:color="auto" w:fill="ffffff"/>
          <w:lang w:eastAsia="ru-RU"/>
        </w:rPr>
        <w:t xml:space="preserve">руководитель Росреестра 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десятку регионов с наибольшим количеством поданных заявлений вошли: Московская область (296 тыс.), Москва (271 тыс.), Санкт-Петербург (141 тыс.), Краснодарский край (132 тыс.), Республика Татарстан (95 тыс.), Республика Башкортостан (85 тыс.), Свердловск</w:t>
      </w:r>
      <w:r>
        <w:rPr>
          <w:rFonts w:eastAsia="Times New Roman"/>
          <w:b w:val="0"/>
          <w:bCs w:val="0"/>
          <w:shd w:val="clear" w:color="auto" w:fill="ffffff"/>
          <w:lang w:eastAsia="ru-RU"/>
        </w:rPr>
        <w:t xml:space="preserve">ая область (80 тыс.), Ленинградская область (71 тыс.), Новосибирская область (61 тыс.), Ростовская область (60 тыс.).</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Напомним, что для того, чтобы внести указанную запись в ЕГРН, необходимо подать в Росреестр соответствующее заявление. Сделать это можно следующими</w:t>
      </w:r>
      <w:r>
        <w:rPr>
          <w:rFonts w:eastAsia="Times New Roman"/>
          <w:b w:val="0"/>
          <w:bCs w:val="0"/>
          <w:shd w:val="clear" w:color="auto" w:fill="ffffff"/>
          <w:lang w:eastAsia="ru-RU"/>
        </w:rPr>
        <w:t xml:space="preserve"> способами</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Лично обратиться в ближайший офис МФЦ и заполнить заявление по специально утвержденной форме, с собой обязательно нужно иметь документ, удостоверяющий личность.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Посредством портала «Госуслуги» (учетная запись пользователя обязательно должна быть подтвержденной).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Важно подчеркнуть: </w:t>
      </w:r>
      <w:r>
        <w:rPr>
          <w:rFonts w:eastAsia="Times New Roman"/>
          <w:b w:val="0"/>
          <w:bCs w:val="0"/>
          <w:shd w:val="clear" w:color="auto" w:fill="ffffff"/>
          <w:lang w:eastAsia="ru-RU"/>
        </w:rPr>
        <w:t xml:space="preserve">процедура бесплатна</w:t>
      </w:r>
      <w:r>
        <w:rPr>
          <w:rFonts w:eastAsia="Times New Roman"/>
          <w:b w:val="0"/>
          <w:bCs w:val="0"/>
          <w:shd w:val="clear" w:color="auto" w:fill="ffffff"/>
          <w:lang w:eastAsia="ru-RU"/>
        </w:rPr>
        <w:t xml:space="preserve"> и </w:t>
      </w:r>
      <w:r>
        <w:rPr>
          <w:rFonts w:eastAsia="Times New Roman"/>
          <w:b w:val="0"/>
          <w:bCs w:val="0"/>
          <w:shd w:val="clear" w:color="auto" w:fill="ffffff"/>
          <w:lang w:eastAsia="ru-RU"/>
        </w:rPr>
        <w:t xml:space="preserve">доступна по всей России</w:t>
      </w:r>
      <w:r>
        <w:rPr>
          <w:rFonts w:eastAsia="Times New Roman"/>
          <w:b w:val="0"/>
          <w:bCs w:val="0"/>
          <w:shd w:val="clear" w:color="auto" w:fill="ffffff"/>
          <w:lang w:eastAsia="ru-RU"/>
        </w:rPr>
        <w:t xml:space="preserve">, в том числе в воссоединенных регионах. При этом запись действует бессрочно и снимается только на основании личного заявления самого собственника или в силу закона (например, при переходе права).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12. </w:t>
      </w:r>
      <w:r>
        <w:rPr>
          <w:rFonts w:eastAsia="Times New Roman"/>
          <w:b/>
          <w:bCs/>
          <w:shd w:val="clear" w:color="auto" w:fill="ffffff"/>
          <w:lang w:eastAsia="ru-RU"/>
        </w:rPr>
        <w:t xml:space="preserve">Общественный совет при Росреестре обсудил совершенствование цифровых сервисов в сфере земли и недвижимости.</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Росреестре состоялось заседание Общественного совета при ведомстве, на котором обсудили вопросы совершенствования функциональных возможностей личного кабинета кадастрового инженера, создания геопространственных цифровых двойников – основы формирования ин</w:t>
      </w:r>
      <w:r>
        <w:rPr>
          <w:rFonts w:eastAsia="Times New Roman"/>
          <w:b w:val="0"/>
          <w:bCs w:val="0"/>
          <w:shd w:val="clear" w:color="auto" w:fill="ffffff"/>
          <w:lang w:eastAsia="ru-RU"/>
        </w:rPr>
        <w:t xml:space="preserve">фраструктуры геопространственных знаний, а также работу по уточнению координат пунктов государственной геодезической сети (ГГС).</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Открыл заседание председатель ОС </w:t>
      </w:r>
      <w:r>
        <w:rPr>
          <w:rFonts w:eastAsia="Times New Roman"/>
          <w:b w:val="0"/>
          <w:bCs w:val="0"/>
          <w:shd w:val="clear" w:color="auto" w:fill="ffffff"/>
          <w:lang w:eastAsia="ru-RU"/>
        </w:rPr>
        <w:t xml:space="preserve">Александр Каньшин</w:t>
      </w:r>
      <w:r>
        <w:rPr>
          <w:rFonts w:eastAsia="Times New Roman"/>
          <w:b w:val="0"/>
          <w:bCs w:val="0"/>
          <w:shd w:val="clear" w:color="auto" w:fill="ffffff"/>
          <w:lang w:eastAsia="ru-RU"/>
        </w:rPr>
        <w:t xml:space="preserve">. Он озвучил повестку мероприятия и</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подчеркнул важность участия членов ОС в выездных заседаниях и проектах, направленных на патриотическое воспитание молодого поколения.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обные совместные мероприятия. В ближайших планах – просмотр в Московском театре имени Олега Табакова спектакля-постановки «Позывной - тишина», посвященного участию добровольцев в специальной военной операции. Год наза</w:t>
      </w:r>
      <w:r>
        <w:rPr>
          <w:rFonts w:eastAsia="Times New Roman"/>
          <w:b w:val="0"/>
          <w:bCs w:val="0"/>
          <w:shd w:val="clear" w:color="auto" w:fill="ffffff"/>
          <w:lang w:eastAsia="ru-RU"/>
        </w:rPr>
        <w:t xml:space="preserve">д подобное мероприятие мы провели к 80-летию Победы в Великой Отечественной войне во Ржеве, Тверской области. Тогда Общественный совет объединил не только представителей профессионального сообщества, но и молодых активистов общественных организаций, чтобы </w:t>
      </w:r>
      <w:r>
        <w:rPr>
          <w:rFonts w:eastAsia="Times New Roman"/>
          <w:b w:val="0"/>
          <w:bCs w:val="0"/>
          <w:shd w:val="clear" w:color="auto" w:fill="ffffff"/>
          <w:lang w:eastAsia="ru-RU"/>
        </w:rPr>
        <w:t xml:space="preserve">почтить память героев войны»,</w:t>
      </w:r>
      <w:r>
        <w:rPr>
          <w:rFonts w:eastAsia="Times New Roman"/>
          <w:b w:val="0"/>
          <w:bCs w:val="0"/>
          <w:shd w:val="clear" w:color="auto" w:fill="ffffff"/>
          <w:lang w:eastAsia="ru-RU"/>
        </w:rPr>
        <w:t xml:space="preserve"> - напомнил </w:t>
      </w:r>
      <w:r>
        <w:rPr>
          <w:rFonts w:eastAsia="Times New Roman"/>
          <w:b w:val="0"/>
          <w:bCs w:val="0"/>
          <w:shd w:val="clear" w:color="auto" w:fill="ffffff"/>
          <w:lang w:eastAsia="ru-RU"/>
        </w:rPr>
        <w:t xml:space="preserve">Александр Каньшин</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Росреестра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в приветственном слове проинформировал членов ОС о результатах выступления в Совете Федерации в рамках «правительственного часа» с докладом об итогах деятельности ведомства.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За </w:t>
      </w:r>
      <w:r>
        <w:rPr>
          <w:rFonts w:eastAsia="Times New Roman"/>
          <w:b w:val="0"/>
          <w:bCs w:val="0"/>
          <w:shd w:val="clear" w:color="auto" w:fill="ffffff"/>
          <w:lang w:eastAsia="ru-RU"/>
        </w:rPr>
        <w:t xml:space="preserve">6 лет</w:t>
      </w:r>
      <w:r>
        <w:rPr>
          <w:rFonts w:eastAsia="Times New Roman"/>
          <w:b w:val="0"/>
          <w:bCs w:val="0"/>
          <w:shd w:val="clear" w:color="auto" w:fill="ffffff"/>
          <w:lang w:eastAsia="ru-RU"/>
        </w:rPr>
        <w:t xml:space="preserve"> Росреестр принял более </w:t>
      </w:r>
      <w:r>
        <w:rPr>
          <w:rFonts w:eastAsia="Times New Roman"/>
          <w:b w:val="0"/>
          <w:bCs w:val="0"/>
          <w:shd w:val="clear" w:color="auto" w:fill="ffffff"/>
          <w:lang w:eastAsia="ru-RU"/>
        </w:rPr>
        <w:t xml:space="preserve">100</w:t>
      </w:r>
      <w:r>
        <w:rPr>
          <w:rFonts w:eastAsia="Times New Roman"/>
          <w:b w:val="0"/>
          <w:bCs w:val="0"/>
          <w:shd w:val="clear" w:color="auto" w:fill="ffffff"/>
          <w:lang w:eastAsia="ru-RU"/>
        </w:rPr>
        <w:t xml:space="preserve"> федеральных законов, количество оказанных услуг выросло в </w:t>
      </w:r>
      <w:r>
        <w:rPr>
          <w:rFonts w:eastAsia="Times New Roman"/>
          <w:b w:val="0"/>
          <w:bCs w:val="0"/>
          <w:shd w:val="clear" w:color="auto" w:fill="ffffff"/>
          <w:lang w:eastAsia="ru-RU"/>
        </w:rPr>
        <w:t xml:space="preserve">4</w:t>
      </w:r>
      <w:r>
        <w:rPr>
          <w:rFonts w:eastAsia="Times New Roman"/>
          <w:b w:val="0"/>
          <w:bCs w:val="0"/>
          <w:shd w:val="clear" w:color="auto" w:fill="ffffff"/>
          <w:lang w:eastAsia="ru-RU"/>
        </w:rPr>
        <w:t xml:space="preserve"> раза - до </w:t>
      </w:r>
      <w:r>
        <w:rPr>
          <w:rFonts w:eastAsia="Times New Roman"/>
          <w:b w:val="0"/>
          <w:bCs w:val="0"/>
          <w:shd w:val="clear" w:color="auto" w:fill="ffffff"/>
          <w:lang w:eastAsia="ru-RU"/>
        </w:rPr>
        <w:t xml:space="preserve">524</w:t>
      </w:r>
      <w:r>
        <w:rPr>
          <w:rFonts w:eastAsia="Times New Roman"/>
          <w:b w:val="0"/>
          <w:bCs w:val="0"/>
          <w:shd w:val="clear" w:color="auto" w:fill="ffffff"/>
          <w:lang w:eastAsia="ru-RU"/>
        </w:rPr>
        <w:t xml:space="preserve"> миллионов в год, доля электронных услуг увеличилась до </w:t>
      </w:r>
      <w:r>
        <w:rPr>
          <w:rFonts w:eastAsia="Times New Roman"/>
          <w:b w:val="0"/>
          <w:bCs w:val="0"/>
          <w:shd w:val="clear" w:color="auto" w:fill="ffffff"/>
          <w:lang w:eastAsia="ru-RU"/>
        </w:rPr>
        <w:t xml:space="preserve">72%</w:t>
      </w:r>
      <w:r>
        <w:rPr>
          <w:rFonts w:eastAsia="Times New Roman"/>
          <w:b w:val="0"/>
          <w:bCs w:val="0"/>
          <w:shd w:val="clear" w:color="auto" w:fill="ffffff"/>
          <w:lang w:eastAsia="ru-RU"/>
        </w:rPr>
        <w:t xml:space="preserve">, а электронной ипотеки – до </w:t>
      </w:r>
      <w:r>
        <w:rPr>
          <w:rFonts w:eastAsia="Times New Roman"/>
          <w:b w:val="0"/>
          <w:bCs w:val="0"/>
          <w:shd w:val="clear" w:color="auto" w:fill="ffffff"/>
          <w:lang w:eastAsia="ru-RU"/>
        </w:rPr>
        <w:t xml:space="preserve">93%</w:t>
      </w: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Реализация проекта «Стоп-бумага» позволяет ежегодно экономить более </w:t>
      </w:r>
      <w:r>
        <w:rPr>
          <w:rFonts w:eastAsia="Times New Roman"/>
          <w:b w:val="0"/>
          <w:bCs w:val="0"/>
          <w:shd w:val="clear" w:color="auto" w:fill="ffffff"/>
          <w:lang w:eastAsia="ru-RU"/>
        </w:rPr>
        <w:t xml:space="preserve">500 млн</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рублей</w:t>
      </w:r>
      <w:r>
        <w:rPr>
          <w:rFonts w:eastAsia="Times New Roman"/>
          <w:b w:val="0"/>
          <w:bCs w:val="0"/>
          <w:shd w:val="clear" w:color="auto" w:fill="ffffff"/>
          <w:lang w:eastAsia="ru-RU"/>
        </w:rPr>
        <w:t xml:space="preserve"> бюджетных средств и помогло на </w:t>
      </w:r>
      <w:r>
        <w:rPr>
          <w:rFonts w:eastAsia="Times New Roman"/>
          <w:b w:val="0"/>
          <w:bCs w:val="0"/>
          <w:shd w:val="clear" w:color="auto" w:fill="ffffff"/>
          <w:lang w:eastAsia="ru-RU"/>
        </w:rPr>
        <w:t xml:space="preserve">2 дня</w:t>
      </w:r>
      <w:r>
        <w:rPr>
          <w:rFonts w:eastAsia="Times New Roman"/>
          <w:b w:val="0"/>
          <w:bCs w:val="0"/>
          <w:shd w:val="clear" w:color="auto" w:fill="ffffff"/>
          <w:lang w:eastAsia="ru-RU"/>
        </w:rPr>
        <w:t xml:space="preserve"> сократить сроки учета и регистрации. В целом Совет Федерации поддержал и одобрил деятельность ведомства.</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В настоящее время по итогам доклада утвержден перечень поручений, который Росреестру совместно с региональными командами и членами Общественного совета предстоит выполнить», </w:t>
      </w:r>
      <w:r>
        <w:rPr>
          <w:rFonts w:eastAsia="Times New Roman"/>
          <w:b w:val="0"/>
          <w:bCs w:val="0"/>
          <w:shd w:val="clear" w:color="auto" w:fill="ffffff"/>
          <w:lang w:eastAsia="ru-RU"/>
        </w:rPr>
        <w:t xml:space="preserve">- отметил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Департамента залогов – старший вице-президент банка ВТБ </w:t>
      </w:r>
      <w:r>
        <w:rPr>
          <w:rFonts w:eastAsia="Times New Roman"/>
          <w:b w:val="0"/>
          <w:bCs w:val="0"/>
          <w:shd w:val="clear" w:color="auto" w:fill="ffffff"/>
          <w:lang w:eastAsia="ru-RU"/>
        </w:rPr>
        <w:t xml:space="preserve">Антон Вовк</w:t>
      </w:r>
      <w:r>
        <w:rPr>
          <w:rFonts w:eastAsia="Times New Roman"/>
          <w:b w:val="0"/>
          <w:bCs w:val="0"/>
          <w:shd w:val="clear" w:color="auto" w:fill="ffffff"/>
          <w:lang w:eastAsia="ru-RU"/>
        </w:rPr>
        <w:t xml:space="preserve"> затронул вопросы повышения эффективности работы государственных регистраторов при проведении учётно-регистрационных действий. Член ОС предложил сформировать единые стандарты поиска зон с особыми условиями использования территорий (ЗОУИТ) для профессиональ</w:t>
      </w:r>
      <w:r>
        <w:rPr>
          <w:rFonts w:eastAsia="Times New Roman"/>
          <w:b w:val="0"/>
          <w:bCs w:val="0"/>
          <w:shd w:val="clear" w:color="auto" w:fill="ffffff"/>
          <w:lang w:eastAsia="ru-RU"/>
        </w:rPr>
        <w:t xml:space="preserve">ных участников рынка недвижимости и регистраторов. Кроме того, он внес предложение сформировать обзор практики, связанной с особенностями регистрации ипотеки линейных сооружений.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Совместно с Росреестром мы решаем конкретные задачи отрасли. Так, в 2024 году мы урегулировали процесс регистрации ДДУ, и сегодня все сделки с застройщиками проходят на 100% легко и просто. А в 2025 году среди прочего был снят вопрос по предоставлению кред</w:t>
      </w:r>
      <w:r>
        <w:rPr>
          <w:rFonts w:eastAsia="Times New Roman"/>
          <w:b w:val="0"/>
          <w:bCs w:val="0"/>
          <w:shd w:val="clear" w:color="auto" w:fill="ffffff"/>
          <w:lang w:eastAsia="ru-RU"/>
        </w:rPr>
        <w:t xml:space="preserve">итного соглашения при регистрации ипотеки благодаря подготовке соответствующего разъяснительного письма от ведомства»,</w:t>
      </w:r>
      <w:r>
        <w:rPr>
          <w:rFonts w:eastAsia="Times New Roman"/>
          <w:b w:val="0"/>
          <w:bCs w:val="0"/>
          <w:shd w:val="clear" w:color="auto" w:fill="ffffff"/>
          <w:lang w:eastAsia="ru-RU"/>
        </w:rPr>
        <w:t xml:space="preserve"> - подчеркнул </w:t>
      </w:r>
      <w:r>
        <w:rPr>
          <w:rFonts w:eastAsia="Times New Roman"/>
          <w:b w:val="0"/>
          <w:bCs w:val="0"/>
          <w:shd w:val="clear" w:color="auto" w:fill="ffffff"/>
          <w:lang w:eastAsia="ru-RU"/>
        </w:rPr>
        <w:t xml:space="preserve">Антон Вовк</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Президент Ассоциации «Национальное объединение саморегулируемых организаций кадастровых инженеров» </w:t>
      </w:r>
      <w:r>
        <w:rPr>
          <w:rFonts w:eastAsia="Times New Roman"/>
          <w:b w:val="0"/>
          <w:bCs w:val="0"/>
          <w:shd w:val="clear" w:color="auto" w:fill="ffffff"/>
          <w:lang w:eastAsia="ru-RU"/>
        </w:rPr>
        <w:t xml:space="preserve">Алла Овчинникова</w:t>
      </w:r>
      <w:r>
        <w:rPr>
          <w:rFonts w:eastAsia="Times New Roman"/>
          <w:b w:val="0"/>
          <w:bCs w:val="0"/>
          <w:shd w:val="clear" w:color="auto" w:fill="ffffff"/>
          <w:lang w:eastAsia="ru-RU"/>
        </w:rPr>
        <w:t xml:space="preserve"> выступила с докладом, в котором подчеркнула необходимость совершенствования личного кабинета кадастрового инженера. Она предложила перенести личный кабинет кадастрового инженера на Единую цифровую платформу «Национальная система пространственных данных» (</w:t>
      </w:r>
      <w:r>
        <w:rPr>
          <w:rFonts w:eastAsia="Times New Roman"/>
          <w:b w:val="0"/>
          <w:bCs w:val="0"/>
          <w:shd w:val="clear" w:color="auto" w:fill="ffffff"/>
          <w:lang w:eastAsia="ru-RU"/>
        </w:rPr>
        <w:t xml:space="preserve">НСПД). Это позволит кадастровым инженерам использовать функциональность НСПД, иметь интегрированный доступ к слоям Публичной кадастровой карты, ЕГРН, Системе межведомственного электронного взаимодействия. Президент Ассоциации также отметила эффекты для отр</w:t>
      </w:r>
      <w:r>
        <w:rPr>
          <w:rFonts w:eastAsia="Times New Roman"/>
          <w:b w:val="0"/>
          <w:bCs w:val="0"/>
          <w:shd w:val="clear" w:color="auto" w:fill="ffffff"/>
          <w:lang w:eastAsia="ru-RU"/>
        </w:rPr>
        <w:t xml:space="preserve">асли от реализации данного предложения: повышение качества кадастровых работ, сокращение инвестиционно-строительного цикла и рост производительности труда.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Генеральный директор ППК «Роскадастр» </w:t>
      </w:r>
      <w:r>
        <w:rPr>
          <w:rFonts w:eastAsia="Times New Roman"/>
          <w:b w:val="0"/>
          <w:bCs w:val="0"/>
          <w:shd w:val="clear" w:color="auto" w:fill="ffffff"/>
          <w:lang w:eastAsia="ru-RU"/>
        </w:rPr>
        <w:t xml:space="preserve">Татьяна Громова </w:t>
      </w:r>
      <w:r>
        <w:rPr>
          <w:rFonts w:eastAsia="Times New Roman"/>
          <w:b w:val="0"/>
          <w:bCs w:val="0"/>
          <w:shd w:val="clear" w:color="auto" w:fill="ffffff"/>
          <w:lang w:eastAsia="ru-RU"/>
        </w:rPr>
        <w:t xml:space="preserve">подробно</w:t>
      </w:r>
      <w:r>
        <w:rPr>
          <w:rFonts w:eastAsia="Times New Roman"/>
          <w:b w:val="0"/>
          <w:bCs w:val="0"/>
          <w:shd w:val="clear" w:color="auto" w:fill="ffffff"/>
          <w:lang w:eastAsia="ru-RU"/>
        </w:rPr>
        <w:t xml:space="preserve"> </w:t>
      </w:r>
      <w:r>
        <w:rPr>
          <w:rFonts w:eastAsia="Times New Roman"/>
          <w:b w:val="0"/>
          <w:bCs w:val="0"/>
          <w:shd w:val="clear" w:color="auto" w:fill="ffffff"/>
          <w:lang w:eastAsia="ru-RU"/>
        </w:rPr>
        <w:t xml:space="preserve">рассказала о действующих сервисах на платформе НСПД и личном кабинете кадастрового инженера.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w:t>
      </w:r>
      <w:r>
        <w:rPr>
          <w:rFonts w:eastAsia="Times New Roman"/>
          <w:b w:val="0"/>
          <w:bCs w:val="0"/>
          <w:shd w:val="clear" w:color="auto" w:fill="ffffff"/>
          <w:lang w:eastAsia="ru-RU"/>
        </w:rPr>
        <w:t xml:space="preserve">С начала 2026 года в личном кабинете кадастрового инженера зафиксировано более 17 тыс. уникальных пользователей, что подтверждает его востребованность. Кроме того, в планах - дальнейшее развитие сервисов на платформе НСПД для использования кадастровыми инж</w:t>
      </w:r>
      <w:r>
        <w:rPr>
          <w:rFonts w:eastAsia="Times New Roman"/>
          <w:b w:val="0"/>
          <w:bCs w:val="0"/>
          <w:shd w:val="clear" w:color="auto" w:fill="ffffff"/>
          <w:lang w:eastAsia="ru-RU"/>
        </w:rPr>
        <w:t xml:space="preserve">енерами. Сейчас реализованы базовые потребности по визуализации пространственных данных и проверке результатов подготовки межевых и технических планов. В перспективе будут внедрены возможности автоматизированной подготовки отдельных видов документов, взаим</w:t>
      </w:r>
      <w:r>
        <w:rPr>
          <w:rFonts w:eastAsia="Times New Roman"/>
          <w:b w:val="0"/>
          <w:bCs w:val="0"/>
          <w:shd w:val="clear" w:color="auto" w:fill="ffffff"/>
          <w:lang w:eastAsia="ru-RU"/>
        </w:rPr>
        <w:t xml:space="preserve">одействия со смежными правообладателями и уполномоченными органами</w:t>
      </w:r>
      <w:r>
        <w:rPr>
          <w:rFonts w:eastAsia="Times New Roman"/>
          <w:b w:val="0"/>
          <w:bCs w:val="0"/>
          <w:shd w:val="clear" w:color="auto" w:fill="ffffff"/>
          <w:lang w:eastAsia="ru-RU"/>
        </w:rPr>
        <w:t xml:space="preserve">», - отметила </w:t>
      </w:r>
      <w:r>
        <w:rPr>
          <w:rFonts w:eastAsia="Times New Roman"/>
          <w:b w:val="0"/>
          <w:bCs w:val="0"/>
          <w:shd w:val="clear" w:color="auto" w:fill="ffffff"/>
          <w:lang w:eastAsia="ru-RU"/>
        </w:rPr>
        <w:t xml:space="preserve">Татьяна Громова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Главный научный сотрудник ФГБУН Научный геоинформационный центр РАН </w:t>
      </w:r>
      <w:r>
        <w:rPr>
          <w:rFonts w:eastAsia="Times New Roman"/>
          <w:b w:val="0"/>
          <w:bCs w:val="0"/>
          <w:shd w:val="clear" w:color="auto" w:fill="ffffff"/>
          <w:lang w:eastAsia="ru-RU"/>
        </w:rPr>
        <w:t xml:space="preserve">Леонард Яблонский</w:t>
      </w:r>
      <w:r>
        <w:rPr>
          <w:rFonts w:eastAsia="Times New Roman"/>
          <w:b w:val="0"/>
          <w:bCs w:val="0"/>
          <w:shd w:val="clear" w:color="auto" w:fill="ffffff"/>
          <w:lang w:eastAsia="ru-RU"/>
        </w:rPr>
        <w:t xml:space="preserve"> рассказал о создании геопространственных цифровых двойников (ГПЦД), которые являются одним из основных элементов инфраструктуры геопространственных знаний. Он представил модели формирования ГПЦД в разных странах, которые используются для управления инвест</w:t>
      </w:r>
      <w:r>
        <w:rPr>
          <w:rFonts w:eastAsia="Times New Roman"/>
          <w:b w:val="0"/>
          <w:bCs w:val="0"/>
          <w:shd w:val="clear" w:color="auto" w:fill="ffffff"/>
          <w:lang w:eastAsia="ru-RU"/>
        </w:rPr>
        <w:t xml:space="preserve">иционно-экономическим развитием, территориальным и городским планированием, строительством, архитектурой, дорожно-транспортным комплексом, имущественными отношениями, торговой, туристической и другой деятельностью. Среди требований, удовлетворяющих потреби</w:t>
      </w:r>
      <w:r>
        <w:rPr>
          <w:rFonts w:eastAsia="Times New Roman"/>
          <w:b w:val="0"/>
          <w:bCs w:val="0"/>
          <w:shd w:val="clear" w:color="auto" w:fill="ffffff"/>
          <w:lang w:eastAsia="ru-RU"/>
        </w:rPr>
        <w:t xml:space="preserve">телей при создании цифровых двойников, достоверность, полнота, актуальность данных, всесторонний учет факторов и взаимосвязей, системность и удобство в использовании. В завершении своего доклада он подчеркнул, что создание ГПЦД требует переосмысления роли </w:t>
      </w:r>
      <w:r>
        <w:rPr>
          <w:rFonts w:eastAsia="Times New Roman"/>
          <w:b w:val="0"/>
          <w:bCs w:val="0"/>
          <w:shd w:val="clear" w:color="auto" w:fill="ffffff"/>
          <w:lang w:eastAsia="ru-RU"/>
        </w:rPr>
        <w:t xml:space="preserve">картографо-геодезических служб и видоизменения геопространственной информации и знаний.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Виктор Кислов</w:t>
      </w:r>
      <w:r>
        <w:rPr>
          <w:rFonts w:eastAsia="Times New Roman"/>
          <w:b w:val="0"/>
          <w:bCs w:val="0"/>
          <w:shd w:val="clear" w:color="auto" w:fill="ffffff"/>
          <w:lang w:eastAsia="ru-RU"/>
        </w:rPr>
        <w:t xml:space="preserve">, вице-президент Национальной палаты кадастровых инженеров, на заседании ОС выступил с докладом об уточнении координат пунктов ГГС в местных системах координат, применяемых при ведении ЕГРН (МСК), и возникающих вопросах по использованию уточненных координа</w:t>
      </w:r>
      <w:r>
        <w:rPr>
          <w:rFonts w:eastAsia="Times New Roman"/>
          <w:b w:val="0"/>
          <w:bCs w:val="0"/>
          <w:shd w:val="clear" w:color="auto" w:fill="ffffff"/>
          <w:lang w:eastAsia="ru-RU"/>
        </w:rPr>
        <w:t xml:space="preserve">т в МСК на отдельных территориях. В рамках обсуждения предложено подготовить соответствующие предложения по решению вопросов при использовании уточненных координат.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Руководитель Росреестра </w:t>
      </w:r>
      <w:r>
        <w:rPr>
          <w:rFonts w:eastAsia="Times New Roman"/>
          <w:b w:val="0"/>
          <w:bCs w:val="0"/>
          <w:shd w:val="clear" w:color="auto" w:fill="ffffff"/>
          <w:lang w:eastAsia="ru-RU"/>
        </w:rPr>
        <w:t xml:space="preserve">Олег Скуфинский</w:t>
      </w:r>
      <w:r>
        <w:rPr>
          <w:rFonts w:eastAsia="Times New Roman"/>
          <w:b w:val="0"/>
          <w:bCs w:val="0"/>
          <w:shd w:val="clear" w:color="auto" w:fill="ffffff"/>
          <w:lang w:eastAsia="ru-RU"/>
        </w:rPr>
        <w:t xml:space="preserve"> предложил в ближайшее время проработать механизмы решения рассмотренных на ОС предложений. Также он представил нового члена ОС - начальника управления по юридическим и корпоративным вопросам ООО «Домклик» </w:t>
      </w:r>
      <w:r>
        <w:rPr>
          <w:rFonts w:eastAsia="Times New Roman"/>
          <w:b w:val="0"/>
          <w:bCs w:val="0"/>
          <w:shd w:val="clear" w:color="auto" w:fill="ffffff"/>
          <w:lang w:eastAsia="ru-RU"/>
        </w:rPr>
        <w:t xml:space="preserve">Алену Уварову</w:t>
      </w:r>
      <w:r>
        <w:rPr>
          <w:rFonts w:eastAsia="Times New Roman"/>
          <w:b w:val="0"/>
          <w:bCs w:val="0"/>
          <w:shd w:val="clear" w:color="auto" w:fill="ffffff"/>
          <w:lang w:eastAsia="ru-RU"/>
        </w:rPr>
        <w:t xml:space="preserve"> и пожелал ей успехов в работе в составе совета.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Председатель ОС </w:t>
      </w:r>
      <w:r>
        <w:rPr>
          <w:rFonts w:eastAsia="Times New Roman"/>
          <w:b w:val="0"/>
          <w:bCs w:val="0"/>
          <w:shd w:val="clear" w:color="auto" w:fill="ffffff"/>
          <w:lang w:eastAsia="ru-RU"/>
        </w:rPr>
        <w:t xml:space="preserve">Александр Каньшин</w:t>
      </w:r>
      <w:r>
        <w:rPr>
          <w:rFonts w:eastAsia="Times New Roman"/>
          <w:b w:val="0"/>
          <w:bCs w:val="0"/>
          <w:shd w:val="clear" w:color="auto" w:fill="ffffff"/>
          <w:lang w:eastAsia="ru-RU"/>
        </w:rPr>
        <w:t xml:space="preserve"> поблагодарил членов ОС за участие в очередном заседании и поручил внести все рассмотренные предложения в протокол.</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7. </w:t>
      </w:r>
      <w:r>
        <w:rPr>
          <w:rFonts w:eastAsia="Times New Roman"/>
          <w:b/>
          <w:bCs/>
          <w:shd w:val="clear" w:color="auto" w:fill="ffffff"/>
          <w:lang w:eastAsia="ru-RU"/>
        </w:rPr>
        <w:t xml:space="preserve">Доля земельных участков с установленными границами за год увеличилась на 3%.</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 1 мая 2026 года в Новосибирской области насчитывается 794 637 земельных участков, имеющих установленные границы, что составляет 76,65% от общего числа земельных участков, расположенных на территории региона. За год показатель вырос на 3%.</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Отсутствие ме</w:t>
      </w:r>
      <w:r>
        <w:rPr>
          <w:rFonts w:eastAsia="Times New Roman"/>
          <w:b w:val="0"/>
          <w:bCs w:val="0"/>
          <w:shd w:val="clear" w:color="auto" w:fill="ffffff"/>
          <w:lang w:eastAsia="ru-RU"/>
        </w:rPr>
        <w:t xml:space="preserve">жевания у земельного участка препятствует совершению сделок с ним. Например, собственник не сможет продать или подарить земельный участок без предварительного проведения кадастровых работ.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Из-за отсутствия границ у земельного участка невозможно оформить д</w:t>
      </w:r>
      <w:r>
        <w:rPr>
          <w:rFonts w:eastAsia="Times New Roman"/>
          <w:b w:val="0"/>
          <w:bCs w:val="0"/>
          <w:shd w:val="clear" w:color="auto" w:fill="ffffff"/>
          <w:lang w:eastAsia="ru-RU"/>
        </w:rPr>
        <w:t xml:space="preserve">ом или постройки на нем.</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Комплексные кадастровые работы, проводимые на территории Новосибирской области, помогают установить точные границы земельных участков и ввести соответствующие сведения в Единый государственный реестр недвижимости. Так в 2025 году </w:t>
      </w:r>
      <w:r>
        <w:rPr>
          <w:rFonts w:eastAsia="Times New Roman"/>
          <w:b w:val="0"/>
          <w:bCs w:val="0"/>
          <w:shd w:val="clear" w:color="auto" w:fill="ffffff"/>
          <w:lang w:eastAsia="ru-RU"/>
        </w:rPr>
        <w:t xml:space="preserve">уточнены границы 15 440 земельных участков, в 2026 году такие работы проводятся на территориях 19 районов Новосибирской области.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Проверить наличие установленных границ земельных участков можно на цифровой платформе «Национальная система пространственных д</w:t>
      </w:r>
      <w:r>
        <w:rPr>
          <w:rFonts w:eastAsia="Times New Roman"/>
          <w:b w:val="0"/>
          <w:bCs w:val="0"/>
          <w:shd w:val="clear" w:color="auto" w:fill="ffffff"/>
          <w:lang w:eastAsia="ru-RU"/>
        </w:rPr>
        <w:t xml:space="preserve">анных» в разделе «Публичная кадастровая карта» (</w:t>
      </w:r>
      <w:hyperlink r:id="rId33" w:tooltip="https://www.nspd.gov.ru/" w:history="1">
        <w:r>
          <w:rPr>
            <w:rFonts w:eastAsia="Times New Roman"/>
            <w:b w:val="0"/>
            <w:bCs w:val="0"/>
            <w:shd w:val="clear" w:color="auto" w:fill="ffffff"/>
            <w:lang w:eastAsia="ru-RU"/>
          </w:rPr>
          <w:t xml:space="preserve">https://www.nspd.gov.ru/</w:t>
        </w:r>
      </w:hyperlink>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уточнения границ земельного участка необходимо обратиться в филиал ППК «Роскадастр» или к кадастровому инженеру, для подготовки межевого плана.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Росреестр предоставляется заявление об уточнении границ земельного участка с приложением межевого пла</w:t>
      </w:r>
      <w:r>
        <w:rPr>
          <w:rFonts w:eastAsia="Times New Roman"/>
          <w:b w:val="0"/>
          <w:bCs w:val="0"/>
          <w:shd w:val="clear" w:color="auto" w:fill="ffffff"/>
          <w:lang w:eastAsia="ru-RU"/>
        </w:rPr>
        <w:t xml:space="preserve">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«Отсутствие уточненных границ земельного участка может привести к серьезным последствиям. Если появятся споры с соседями или государственными органами, то правообладатель может потерять часть земельного участка или столкнуться с вопросом о правомерности ис</w:t>
      </w:r>
      <w:r>
        <w:rPr>
          <w:rFonts w:eastAsia="Times New Roman"/>
          <w:b w:val="0"/>
          <w:bCs w:val="0"/>
          <w:shd w:val="clear" w:color="auto" w:fill="ffffff"/>
          <w:lang w:eastAsia="ru-RU"/>
        </w:rPr>
        <w:t xml:space="preserve">пользования земли. Росреестр напоминает, что с 1 марта 2025 года регистрационные действия в отношении земельного участка, а также учет расположенных на нем зданий и сооружений не могут быть выполнены, если в Едином государственном реестре недвижимости отсу</w:t>
      </w:r>
      <w:r>
        <w:rPr>
          <w:rFonts w:eastAsia="Times New Roman"/>
          <w:b w:val="0"/>
          <w:bCs w:val="0"/>
          <w:shd w:val="clear" w:color="auto" w:fill="ffffff"/>
          <w:lang w:eastAsia="ru-RU"/>
        </w:rPr>
        <w:t xml:space="preserve">тствуют сведения о местоположении границ участка»</w:t>
      </w:r>
      <w:r>
        <w:rPr>
          <w:rFonts w:eastAsia="Times New Roman"/>
          <w:b w:val="0"/>
          <w:bCs w:val="0"/>
          <w:shd w:val="clear" w:color="auto" w:fill="ffffff"/>
          <w:lang w:eastAsia="ru-RU"/>
        </w:rPr>
        <w:t xml:space="preserve">, – отметила заместитель руководителя </w:t>
      </w:r>
      <w:r>
        <w:rPr>
          <w:rFonts w:eastAsia="Times New Roman"/>
          <w:b w:val="0"/>
          <w:bCs w:val="0"/>
          <w:shd w:val="clear" w:color="auto" w:fill="ffffff"/>
          <w:lang w:eastAsia="ru-RU"/>
        </w:rPr>
        <w:t xml:space="preserve">Наталья Ивчатова.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Установленные границы земельного участка гарантируют четкость и законность в правоотношениях, связанных с землей.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«Уточнение границ - это проявление заботы о своей собственности и инвестиция в спокойствие. Процедура избавляет от потенциальных конфликтов, делает участок ликвидным на рынке и позволяет полноценно распоряжаться землей. Заключить сделку в отношении земельн</w:t>
      </w:r>
      <w:r>
        <w:rPr>
          <w:rFonts w:eastAsia="Times New Roman"/>
          <w:b w:val="0"/>
          <w:bCs w:val="0"/>
          <w:shd w:val="clear" w:color="auto" w:fill="ffffff"/>
          <w:lang w:eastAsia="ru-RU"/>
        </w:rPr>
        <w:t xml:space="preserve">ого участка можно только при условии установленных у него границ. Даже если сейчас споров нет, лучше заранее позаботиться о юридической чистоте своего участка - это всегда выгоднее, чем решать проблемы в суде»</w:t>
      </w:r>
      <w:r>
        <w:rPr>
          <w:rFonts w:eastAsia="Times New Roman"/>
          <w:b w:val="0"/>
          <w:bCs w:val="0"/>
          <w:shd w:val="clear" w:color="auto" w:fill="ffffff"/>
          <w:lang w:eastAsia="ru-RU"/>
        </w:rPr>
        <w:t xml:space="preserve">, – прокомментировал заместитель руководителя – начальник отдела реализации перераспределенных полномочий по распоряжению земельными участками департамента имущества и земельных отношений Новосибирской области </w:t>
      </w:r>
      <w:r>
        <w:rPr>
          <w:rFonts w:eastAsia="Times New Roman"/>
          <w:b w:val="0"/>
          <w:bCs w:val="0"/>
          <w:shd w:val="clear" w:color="auto" w:fill="ffffff"/>
          <w:lang w:eastAsia="ru-RU"/>
        </w:rPr>
        <w:t xml:space="preserve">Павел Комаров</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8. </w:t>
      </w:r>
      <w:r>
        <w:rPr>
          <w:rFonts w:eastAsia="Times New Roman"/>
          <w:b/>
          <w:bCs/>
          <w:shd w:val="clear" w:color="auto" w:fill="ffffff"/>
          <w:lang w:eastAsia="ru-RU"/>
        </w:rPr>
        <w:t xml:space="preserve">Новый дачный сезон: пора оформлять недвижимость.</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Четко определенные границы земельного участка – гарантия того, что никто не будет претендовать на вашу территорию. Это особенно актуально, когда участки небольшие, и каждый сантиметр на счету.</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Расположенные на садовых и дачных земельных участках объекты к</w:t>
      </w:r>
      <w:r>
        <w:rPr>
          <w:rFonts w:eastAsia="Times New Roman"/>
          <w:b w:val="0"/>
          <w:bCs w:val="0"/>
          <w:shd w:val="clear" w:color="auto" w:fill="ffffff"/>
          <w:lang w:eastAsia="ru-RU"/>
        </w:rPr>
        <w:t xml:space="preserve">апитального строительства (дома, бани, гаражи, хозяйственные постройки) подлежат обязательному оформлению – постановке на государственный кадастровый учет и регистрации прав.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Зная точные границы земельного участка, собственник может грамотно спланировать </w:t>
      </w:r>
      <w:r>
        <w:rPr>
          <w:rFonts w:eastAsia="Times New Roman"/>
          <w:b w:val="0"/>
          <w:bCs w:val="0"/>
          <w:shd w:val="clear" w:color="auto" w:fill="ffffff"/>
          <w:lang w:eastAsia="ru-RU"/>
        </w:rPr>
        <w:t xml:space="preserve">расположение дома, бани, теплиц и других построек, не нарушая при этом права соседей и соблюдая установленные нормы.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России продолжает действие «Дачная амнистия» - законодательная инициатива, упрощающая процедуру оформления прав собственности на земельн</w:t>
      </w:r>
      <w:r>
        <w:rPr>
          <w:rFonts w:eastAsia="Times New Roman"/>
          <w:b w:val="0"/>
          <w:bCs w:val="0"/>
          <w:shd w:val="clear" w:color="auto" w:fill="ffffff"/>
          <w:lang w:eastAsia="ru-RU"/>
        </w:rPr>
        <w:t xml:space="preserve">ые участки (предоставленные гражданам до 30.10.2001 для личных нужд), садовые или жилые дома, построенные на участках для садоводства, жилищного строительства, ведения личного подсобного хозяйства в границах населённых пунктов или на участках крестьянско-ф</w:t>
      </w:r>
      <w:r>
        <w:rPr>
          <w:rFonts w:eastAsia="Times New Roman"/>
          <w:b w:val="0"/>
          <w:bCs w:val="0"/>
          <w:shd w:val="clear" w:color="auto" w:fill="ffffff"/>
          <w:lang w:eastAsia="ru-RU"/>
        </w:rPr>
        <w:t xml:space="preserve">ермерских хозяйств и иные капитальные хозяйственные постройки (гаражи, бани и т.д.).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Наряду с собственными земельными участками, члены садовых некоммерческих товариществ (далее – СНТ) вправе пользоваться общим имуществом СНТ.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 общему имуществу относятся</w:t>
      </w:r>
      <w:r>
        <w:rPr>
          <w:rFonts w:eastAsia="Times New Roman"/>
          <w:b w:val="0"/>
          <w:bCs w:val="0"/>
          <w:shd w:val="clear" w:color="auto" w:fill="ffffff"/>
          <w:lang w:eastAsia="ru-RU"/>
        </w:rPr>
        <w:t xml:space="preserve"> объекты, которые используются членами СНТ: дороги, водопровод, электросети, детские площадки, места общего пользования, а также здания и сооружения, предназначенные для обслуживания нужд товарищества.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Росреестр внес в правительство Российской Федерации з</w:t>
      </w:r>
      <w:r>
        <w:rPr>
          <w:rFonts w:eastAsia="Times New Roman"/>
          <w:b w:val="0"/>
          <w:bCs w:val="0"/>
          <w:shd w:val="clear" w:color="auto" w:fill="ffffff"/>
          <w:lang w:eastAsia="ru-RU"/>
        </w:rPr>
        <w:t xml:space="preserve">аконопроект, упрощающий оформление прав на общее имущество в СНТ.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закону общее имущество в СНТ передается в общую долевую собственность садоводов - собственников садовых участков в границах территории садоводства. В Росреестре отмечают, что сама процед</w:t>
      </w:r>
      <w:r>
        <w:rPr>
          <w:rFonts w:eastAsia="Times New Roman"/>
          <w:b w:val="0"/>
          <w:bCs w:val="0"/>
          <w:shd w:val="clear" w:color="auto" w:fill="ffffff"/>
          <w:lang w:eastAsia="ru-RU"/>
        </w:rPr>
        <w:t xml:space="preserve">ура оформления общего имущества СНТ сейчас затруднена, поскольку для этого садоводы:</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59"/>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должны провести общее собрание членов СНТ;</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59"/>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рассчитать доли;</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59"/>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оформить в Росреестре право общей долевой собственности на имущество общего пользования.</w:t>
      </w:r>
      <w:r>
        <w:rPr>
          <w:rFonts w:eastAsia="Times New Roman"/>
          <w:b w:val="0"/>
          <w:bCs w:val="0"/>
          <w:lang w:eastAsia="ru-RU"/>
          <w14:ligatures w14:val="none"/>
        </w:rPr>
      </w:r>
      <w:r>
        <w:rPr>
          <w:rFonts w:eastAsia="Times New Roman"/>
          <w:b w:val="0"/>
          <w:bCs w:val="0"/>
          <w:lang w:eastAsia="ru-RU"/>
          <w14:ligatures w14:val="none"/>
        </w:rPr>
      </w:r>
    </w:p>
    <w:p>
      <w:pPr>
        <w:ind w:left="0" w:right="0"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Законопроект предусматривает, что право собственности садоводов на общее имущество СНТ будет возникать в силу закона с момента его постановки на кадастровый учет в органе регистрации - по аналогии с общим имуществом собственников помещений в многоквартирны</w:t>
      </w:r>
      <w:r>
        <w:rPr>
          <w:rFonts w:eastAsia="Times New Roman"/>
          <w:b w:val="0"/>
          <w:bCs w:val="0"/>
          <w:shd w:val="clear" w:color="auto" w:fill="ffffff"/>
          <w:lang w:eastAsia="ru-RU"/>
        </w:rPr>
        <w:t xml:space="preserve">х домах.</w:t>
      </w:r>
      <w:r>
        <w:rPr>
          <w:rFonts w:eastAsia="Times New Roman"/>
          <w:b w:val="0"/>
          <w:bCs w:val="0"/>
          <w:lang w:eastAsia="ru-RU"/>
          <w14:ligatures w14:val="none"/>
        </w:rPr>
      </w:r>
      <w:r>
        <w:rPr>
          <w:rFonts w:eastAsia="Times New Roman"/>
          <w:b w:val="0"/>
          <w:bCs w:val="0"/>
          <w:lang w:eastAsia="ru-RU"/>
          <w14:ligatures w14:val="none"/>
        </w:rPr>
      </w:r>
    </w:p>
    <w:p>
      <w:pPr>
        <w:ind w:left="0" w:right="0" w:firstLine="708"/>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Объекты недвижимости, находящиеся на территории СНТ – важная составляющая имущественного оборота, которая требует внимания, понимания и грамотного управления. Они являются неотъемлемой частью рынка недвижимости, влияют на экономику и социальное р</w:t>
      </w:r>
      <w:r>
        <w:rPr>
          <w:rFonts w:eastAsia="Times New Roman"/>
          <w:b w:val="0"/>
          <w:bCs w:val="0"/>
          <w:shd w:val="clear" w:color="auto" w:fill="ffffff"/>
          <w:lang w:eastAsia="ru-RU"/>
        </w:rPr>
        <w:t xml:space="preserve">азвитие, и их роль будет только возрастать по мере развития загородного строительства и стремления людей к комфортной жизни вне городской суеты.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9. </w:t>
      </w:r>
      <w:r>
        <w:rPr>
          <w:rFonts w:eastAsia="Times New Roman"/>
          <w:b/>
          <w:bCs/>
          <w:shd w:val="clear" w:color="auto" w:fill="ffffff"/>
          <w:lang w:eastAsia="ru-RU"/>
        </w:rPr>
        <w:t xml:space="preserve">Новосибирский Росреестр напоминает о правилах пожарной безопасности.</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целях профилактики возгораний Управление Росреестра по Новосибирской области напоминает новосибирцам о соблюдении правил противопожарного режима на земельном участке.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Случаи возгорания, представляющие угрозу  для жизни людей и сохранности имущества, наи</w:t>
      </w:r>
      <w:r>
        <w:rPr>
          <w:rFonts w:eastAsia="Times New Roman"/>
          <w:b w:val="0"/>
          <w:bCs w:val="0"/>
          <w:shd w:val="clear" w:color="auto" w:fill="ffffff"/>
          <w:lang w:eastAsia="ru-RU"/>
        </w:rPr>
        <w:t xml:space="preserve">более часто происходят на территориях садовых участков и загородных поселках.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Основные правила пожарной безопасности в дачном доме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безопасной эксплуатации электрических сетей запрещается:</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прокладывать электропроводку по горючим поверхностям или закрывать её легковоспламеняющимися материалами;</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оставлять без присмотра включенными электронагревательные и бытовые приборы (за исключением устройств, рассчитанных на непрерывную работу);</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использовать кабели и провода с поврежденной изоляцией либо следами нагрева;</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эксплуатировать поврежденные розетки, выключатели и иные электроустановочные изделия;</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применять электронагревательные приборы без системы тепловой защиты или с неисправными терморегуляторами;</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2"/>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использовать самодельные электрообогреватели, удлинители ненадлежащего качества, а также несертифицированные средства защиты от перегрузок и коротких замыканий.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 использовании печного отопления запрещается:</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оставлять без присмотра топящиеся печи или поручать контроль детям;</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размещать горючие материалы возле топки;</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использовать легковоспламеняющиеся жидкости для розжига;</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применять уголь в печах, не предназначенных для данного вида топлива;</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допускать перегрев печи;</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3"/>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использовать печь при наличии повреждений, прогаров или неисправностей элементов конструкции.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Очистка дымоходов и печей (отопительных приборов) от сажи должна производиться не реже 1 раза в 3 месяца.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Рекомендуем установить автономный пожарный извещатель.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Устройство позволяет обнаружить дым на ранней стадии возгорания и своевременно предупредить об опасности!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Правила сжигания мусора в бочке на садовом участке:</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4"/>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расстояние до легковоспламеняющихся материалов должно составлять не менее 5 м.;</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4"/>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расстояние до строения – не менее 7,5 м.</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 участке необходимо иметь запас воды объемом не менее 200 литров, а также первичные средства пожаротушения.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Просим своевременно проводить уборку мусора и покос травы на используемых земельных участках.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 обнаружении пожара:</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5"/>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немедленно вызвать пожарную охрану по номеру телефона 101;</w:t>
      </w:r>
      <w:r>
        <w:rPr>
          <w:rFonts w:eastAsia="Times New Roman"/>
          <w:b w:val="0"/>
          <w:bCs w:val="0"/>
          <w:lang w:eastAsia="ru-RU"/>
          <w14:ligatures w14:val="none"/>
        </w:rPr>
      </w:r>
      <w:r>
        <w:rPr>
          <w:rFonts w:eastAsia="Times New Roman"/>
          <w:b w:val="0"/>
          <w:bCs w:val="0"/>
          <w:lang w:eastAsia="ru-RU"/>
          <w14:ligatures w14:val="none"/>
        </w:rPr>
      </w:r>
    </w:p>
    <w:p>
      <w:pPr>
        <w:pStyle w:val="1027"/>
        <w:numPr>
          <w:ilvl w:val="0"/>
          <w:numId w:val="65"/>
        </w:numPr>
        <w:ind w:left="0" w:right="0"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принять меры по спасению людей, материальных ценностей и ликвидации возгорания до приезда пожарных подразделений.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highlight w:val="none"/>
          <w:shd w:val="clear" w:color="auto" w:fill="ffffff"/>
          <w:lang w:eastAsia="ru-RU"/>
        </w:rPr>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bCs/>
          <w:highlight w:val="none"/>
          <w:lang w:eastAsia="ru-RU"/>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10. </w:t>
      </w:r>
      <w:r>
        <w:rPr>
          <w:rFonts w:eastAsia="Times New Roman"/>
          <w:b/>
          <w:bCs/>
          <w:shd w:val="clear" w:color="auto" w:fill="ffffff"/>
          <w:lang w:eastAsia="ru-RU"/>
        </w:rPr>
        <w:t xml:space="preserve">Новосибирский Росреестр провел горячую линию ко Дню защиты детей.</w:t>
      </w:r>
      <w:r>
        <w:rPr>
          <w:rFonts w:eastAsia="Times New Roman"/>
          <w:b/>
          <w:bCs/>
          <w:highlight w:val="none"/>
          <w:lang w:eastAsia="ru-RU"/>
          <w14:ligatures w14:val="none"/>
        </w:rPr>
      </w:r>
      <w:r>
        <w:rPr>
          <w:rFonts w:eastAsia="Times New Roman"/>
          <w:b/>
          <w:bCs/>
          <w:highlight w:val="none"/>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Публикуем ответ на поступивший вопрос.</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Как продать жилое помещение, приобретенное, в том числе, за счет средств материнского капитала?  </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Отчуждение недвижимости возможно только после выделения в ней долей всем членам семьи и с предварительного разрешения органа опеки и попечительства.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Разрешение органов опеки на отчуждение жилого помещения, одним из собственников которого является ребенок,</w:t>
      </w:r>
      <w:r>
        <w:rPr>
          <w:rFonts w:eastAsia="Times New Roman"/>
          <w:b w:val="0"/>
          <w:bCs w:val="0"/>
          <w:shd w:val="clear" w:color="auto" w:fill="ffffff"/>
          <w:lang w:eastAsia="ru-RU"/>
        </w:rPr>
        <w:t xml:space="preserve"> выдается при одновременном приобретении на имя несовершеннолетнего равноценной или большей жилой площади, соблюдения иных условий.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Сделка по отчуждению доли недвижимого имущества, принадлежащего несовершеннолетнему, подлежит обязательному нотариальному у</w:t>
      </w:r>
      <w:r>
        <w:rPr>
          <w:rFonts w:eastAsia="Times New Roman"/>
          <w:b w:val="0"/>
          <w:bCs w:val="0"/>
          <w:shd w:val="clear" w:color="auto" w:fill="ffffff"/>
          <w:lang w:eastAsia="ru-RU"/>
        </w:rPr>
        <w:t xml:space="preserve">достоверению. Нотариус проверит дееспособность сторон, законность и наличие всех документов, отсутствие арестов и ограничений. Несоблюдение нотариальной формы такой сделки влечет ее недействительность.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желанию сторон нотариус может самостоятельно предс</w:t>
      </w:r>
      <w:r>
        <w:rPr>
          <w:rFonts w:eastAsia="Times New Roman"/>
          <w:b w:val="0"/>
          <w:bCs w:val="0"/>
          <w:shd w:val="clear" w:color="auto" w:fill="ffffff"/>
          <w:lang w:eastAsia="ru-RU"/>
        </w:rPr>
        <w:t xml:space="preserve">тавить договор купли-продажи в Росреестр в электронном виде. Срок регистрации по документам, представленным на регистрацию недвижимости онлайн, составляет 1 рабочий день.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11. </w:t>
      </w:r>
      <w:r>
        <w:rPr>
          <w:rFonts w:eastAsia="Times New Roman"/>
          <w:b/>
          <w:bCs/>
          <w:shd w:val="clear" w:color="auto" w:fill="ffffff"/>
          <w:lang w:eastAsia="ru-RU"/>
        </w:rPr>
        <w:t xml:space="preserve">Как убедиться в установлении запрета совершенных действий с недвижимостью.</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Запись о невозможнос</w:t>
      </w:r>
      <w:r>
        <w:rPr>
          <w:rFonts w:eastAsia="Times New Roman"/>
          <w:b w:val="0"/>
          <w:bCs w:val="0"/>
          <w:shd w:val="clear" w:color="auto" w:fill="ffffff"/>
          <w:lang w:eastAsia="ru-RU"/>
        </w:rPr>
        <w:t xml:space="preserve">ти регистрации без личного участия                     (далее – запись) вносится в Единый государственный реестр недвижимости (далее – ЕГРН) с целью защитить свое право собственности на недвижимость. Если она внесена, никакие сделки с вашей недвижимостью н</w:t>
      </w:r>
      <w:r>
        <w:rPr>
          <w:rFonts w:eastAsia="Times New Roman"/>
          <w:b w:val="0"/>
          <w:bCs w:val="0"/>
          <w:shd w:val="clear" w:color="auto" w:fill="ffffff"/>
          <w:lang w:eastAsia="ru-RU"/>
        </w:rPr>
        <w:t xml:space="preserve">е будут зарегистрированы, если инициатором  являетесь не вы лично.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Услуга предоставляется бесплатно, сведения вносятся в ЕГРН в течение 5 рабочих дней с момента поступления заявления. Запрет действует бессрочно, повторно подавать заявление не нужно, если </w:t>
      </w:r>
      <w:r>
        <w:rPr>
          <w:rFonts w:eastAsia="Times New Roman"/>
          <w:b w:val="0"/>
          <w:bCs w:val="0"/>
          <w:shd w:val="clear" w:color="auto" w:fill="ffffff"/>
          <w:lang w:eastAsia="ru-RU"/>
        </w:rPr>
        <w:t xml:space="preserve">вы уже один раз его установили.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Убедиться, что запрет установлен можно бесплатно и быстро: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Запросить выписку из ЕГРН на портале Госуслуг. В полученном документе будет указано наличие или отсутствие этой записи.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Проверить в личном кабинете на Госуслугах. Для этого необходимо  перейти в раздел «документы и данные», а затем открыть вкладку «недвижимость».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Проверить уведомления. При внесении записи, на Госуслуги или в личный кабинет Росреестра, приходит уведомление об оказании услуги.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Наличие в ЕГРН записи является основанием для возврата без рассмотрения заявления, представленного иным лицом на государственную регистрацию соответствующего объекта недвижимости. Запись в ЕГРН не препятствует осуществлению государственной регистрации, есл</w:t>
      </w:r>
      <w:r>
        <w:rPr>
          <w:rFonts w:eastAsia="Times New Roman"/>
          <w:b w:val="0"/>
          <w:bCs w:val="0"/>
          <w:shd w:val="clear" w:color="auto" w:fill="ffffff"/>
          <w:lang w:eastAsia="ru-RU"/>
        </w:rPr>
        <w:t xml:space="preserve">и основанием является вступившее в законную силу решение суда, или в случаях, установленных федеральными законами.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5. </w:t>
      </w:r>
      <w:r>
        <w:rPr>
          <w:rFonts w:eastAsia="Times New Roman"/>
          <w:b/>
          <w:bCs/>
          <w:shd w:val="clear" w:color="auto" w:fill="ffffff"/>
          <w:lang w:eastAsia="ru-RU"/>
        </w:rPr>
        <w:t xml:space="preserve">В Новосибирской области провели свод сведений о земле.</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Управлением Росреестра по Новосибирской области подготовлены ежегодный отчет о наличии земель и распределении их по формам собственности, категориям, угодьям, пользователям и региональный доклад о состоянии и использовании земель в Новосибирской области за</w:t>
      </w:r>
      <w:r>
        <w:rPr>
          <w:rFonts w:eastAsia="Times New Roman"/>
          <w:b w:val="0"/>
          <w:bCs w:val="0"/>
          <w:shd w:val="clear" w:color="auto" w:fill="ffffff"/>
          <w:lang w:eastAsia="ru-RU"/>
        </w:rPr>
        <w:t xml:space="preserve"> 2025 год.</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Систематизация таких сведений проводится ежегодно, так как изменяется структура земельного фонда по категориям земель, видам угодий, использованию земельных участков на определенном виде права. В течение нескольких месяцев готовится полный отче</w:t>
      </w:r>
      <w:r>
        <w:rPr>
          <w:rFonts w:eastAsia="Times New Roman"/>
          <w:b w:val="0"/>
          <w:bCs w:val="0"/>
          <w:shd w:val="clear" w:color="auto" w:fill="ffffff"/>
          <w:lang w:eastAsia="ru-RU"/>
        </w:rPr>
        <w:t xml:space="preserve">т о землях региона.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Площадь земельного фонда Новосибирской области составляет 17775,6 тыс.га.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земельном фонде Новосибирской области преобладают земли сельскохозяйственного назначения, которые занимают 11086,8 тыс.га и составляют 62,4 % от общей площади</w:t>
      </w:r>
      <w:r>
        <w:rPr>
          <w:rFonts w:eastAsia="Times New Roman"/>
          <w:b w:val="0"/>
          <w:bCs w:val="0"/>
          <w:shd w:val="clear" w:color="auto" w:fill="ffffff"/>
          <w:lang w:eastAsia="ru-RU"/>
        </w:rPr>
        <w:t xml:space="preserve"> региона.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Леса занимают 26,1 % площади всей территории области или 4629,7 тыс.га и преобладают в северной части региона.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Значительная часть земель Новосибирской области относится к землям запаса – 1039,7 тыс.га (5,9 %).</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Меньшие площади занимают земли во</w:t>
      </w:r>
      <w:r>
        <w:rPr>
          <w:rFonts w:eastAsia="Times New Roman"/>
          <w:b w:val="0"/>
          <w:bCs w:val="0"/>
          <w:shd w:val="clear" w:color="auto" w:fill="ffffff"/>
          <w:lang w:eastAsia="ru-RU"/>
        </w:rPr>
        <w:t xml:space="preserve">дного фонда – 595 тыс.га (3,3 %), земли населенных пунктов – 291,5 тыс.га (1,6 %),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w:t>
      </w:r>
      <w:r>
        <w:rPr>
          <w:rFonts w:eastAsia="Times New Roman"/>
          <w:b w:val="0"/>
          <w:bCs w:val="0"/>
          <w:shd w:val="clear" w:color="auto" w:fill="ffffff"/>
          <w:lang w:eastAsia="ru-RU"/>
        </w:rPr>
        <w:t xml:space="preserve">мли иного специального назначения – 130,0 тыс.га (0,7 %), земли особо охраняемых территорий и объектов – 2,9 тыс.га.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C Докладом о состоянии и использовании земель в Новосибирской области по итогам 2025 года можно ознакомиться в региональном блоке официаль</w:t>
      </w:r>
      <w:r>
        <w:rPr>
          <w:rFonts w:eastAsia="Times New Roman"/>
          <w:b w:val="0"/>
          <w:bCs w:val="0"/>
          <w:shd w:val="clear" w:color="auto" w:fill="ffffff"/>
          <w:lang w:eastAsia="ru-RU"/>
        </w:rPr>
        <w:t xml:space="preserve">ного сайта Росреестра </w:t>
      </w:r>
      <w:hyperlink r:id="rId34" w:tooltip="https://rosreestr.gov.ru/" w:history="1">
        <w:r>
          <w:rPr>
            <w:rFonts w:eastAsia="Times New Roman"/>
            <w:b w:val="0"/>
            <w:bCs w:val="0"/>
            <w:shd w:val="clear" w:color="auto" w:fill="ffffff"/>
            <w:lang w:eastAsia="ru-RU"/>
          </w:rPr>
          <w:t xml:space="preserve">https://rosreestr.gov.ru</w:t>
        </w:r>
      </w:hyperlink>
      <w:r>
        <w:rPr>
          <w:rFonts w:eastAsia="Times New Roman"/>
          <w:b w:val="0"/>
          <w:bCs w:val="0"/>
          <w:shd w:val="clear" w:color="auto" w:fill="ffffff"/>
          <w:lang w:eastAsia="ru-RU"/>
        </w:rPr>
        <w:t xml:space="preserve"> в разделе «Открытая служба» - «Статистика и аналитика» - «Землеустройство и мониторинг земель» - «Мониторинг земель».</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6. </w:t>
      </w:r>
      <w:r>
        <w:rPr>
          <w:rFonts w:eastAsia="Times New Roman"/>
          <w:b/>
          <w:bCs/>
          <w:shd w:val="clear" w:color="auto" w:fill="ffffff"/>
          <w:lang w:eastAsia="ru-RU"/>
        </w:rPr>
        <w:t xml:space="preserve">Все объекты капитального строительства Новосибирской области переоценят в 2027 году.</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Управление Росреестра по Новосибирской области информирует, что в 2027 году в регионе будет проведена государственная кадастровая оценка всех объектов капитального строительства.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Переоценку пройдут более двух миллионов зданий, помещений, машино-мест, соор</w:t>
      </w:r>
      <w:r>
        <w:rPr>
          <w:rFonts w:eastAsia="Times New Roman"/>
          <w:b w:val="0"/>
          <w:bCs w:val="0"/>
          <w:shd w:val="clear" w:color="auto" w:fill="ffffff"/>
          <w:lang w:eastAsia="ru-RU"/>
        </w:rPr>
        <w:t xml:space="preserve">ужений, объектов незавершенного строительства, сведения о которых будут содержаться в Едином государственном реестре недвижимости (ЕГРН) по состоянию на 1 января 2027 года.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Работы по государственной кадастровой оценке будет выполнять государственное бюдже</w:t>
      </w:r>
      <w:r>
        <w:rPr>
          <w:rFonts w:eastAsia="Times New Roman"/>
          <w:b w:val="0"/>
          <w:bCs w:val="0"/>
          <w:shd w:val="clear" w:color="auto" w:fill="ffffff"/>
          <w:lang w:eastAsia="ru-RU"/>
        </w:rPr>
        <w:t xml:space="preserve">тное учреждение Новосибирской области «Новосибирский центр кадастровой оценки и инвентаризации» (ГБУ НСО «ЦКО и БТИ»).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 кадастровую стоимость объектов недвижимости влияют их характеристики: вид объекта, его назначение, местоположение, площадь, год постр</w:t>
      </w:r>
      <w:r>
        <w:rPr>
          <w:rFonts w:eastAsia="Times New Roman"/>
          <w:b w:val="0"/>
          <w:bCs w:val="0"/>
          <w:shd w:val="clear" w:color="auto" w:fill="ffffff"/>
          <w:lang w:eastAsia="ru-RU"/>
        </w:rPr>
        <w:t xml:space="preserve">ойки и степень износа дома и другие.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Правообладателям объектов рекомендуется проверить сведения о своих объектах, содержащиеся в ЕГРН.</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Один из самых быстрых и простых способов получения информации – электронный.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Это можно сделать с помощью информационны</w:t>
      </w:r>
      <w:r>
        <w:rPr>
          <w:rFonts w:eastAsia="Times New Roman"/>
          <w:b w:val="0"/>
          <w:bCs w:val="0"/>
          <w:shd w:val="clear" w:color="auto" w:fill="ffffff"/>
          <w:lang w:eastAsia="ru-RU"/>
        </w:rPr>
        <w:t xml:space="preserve">х сервисов: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 «Справочная информация по объектам недвижимости в режиме online» на официальном сайте Росреестра (rosreestr.gov.ru)</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 «Публичная кадастровая карта» на платформе «Национальная система пространственных данных» (nspd.gov.ru);</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 «Получение свед</w:t>
      </w:r>
      <w:r>
        <w:rPr>
          <w:rFonts w:eastAsia="Times New Roman"/>
          <w:b w:val="0"/>
          <w:bCs w:val="0"/>
          <w:shd w:val="clear" w:color="auto" w:fill="ffffff"/>
          <w:lang w:eastAsia="ru-RU"/>
        </w:rPr>
        <w:t xml:space="preserve">ений из фонда данных государственной кадастровой оценки» на платформе НСПД (nspd.gov.ru).</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Правообладатели вправе предоставить в бюджетное учреждение декларацию о характеристиках соответствующих объектов недвижимости в целях сбора, уточнения, обработки инф</w:t>
      </w:r>
      <w:r>
        <w:rPr>
          <w:rFonts w:eastAsia="Times New Roman"/>
          <w:b w:val="0"/>
          <w:bCs w:val="0"/>
          <w:shd w:val="clear" w:color="auto" w:fill="ffffff"/>
          <w:lang w:eastAsia="ru-RU"/>
        </w:rPr>
        <w:t xml:space="preserve">ормации для исключения ошибок в характеристиках таких объектов. Уточненные сведения позволят провести кадастровую оценку максимально объективно и достоверно.</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Скачать форму декларации и ознакомиться с порядком ее направления можно на официальном сайте бюдж</w:t>
      </w:r>
      <w:r>
        <w:rPr>
          <w:rFonts w:eastAsia="Times New Roman"/>
          <w:b w:val="0"/>
          <w:bCs w:val="0"/>
          <w:shd w:val="clear" w:color="auto" w:fill="ffffff"/>
          <w:lang w:eastAsia="ru-RU"/>
        </w:rPr>
        <w:t xml:space="preserve">етного учреждения noti.ru в разделе «Кадастровая оценка».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7. </w:t>
      </w:r>
      <w:r>
        <w:rPr>
          <w:rFonts w:eastAsia="Times New Roman"/>
          <w:b w:val="0"/>
          <w:bCs w:val="0"/>
          <w:shd w:val="clear" w:color="auto" w:fill="ffffff"/>
          <w:lang w:eastAsia="ru-RU"/>
        </w:rPr>
        <w:t xml:space="preserve">Покупаем дачу : на что обратить внимание перед сделкой.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Покупка дачи – это не только факт приобретения загородного дома, но и серьезная ответственность. Чтобы избежать возможных финансовых и юридических проблем, покупателю важно тщательно проверить объект с помощью актуальной выписки из Единого государственного</w:t>
      </w:r>
      <w:r>
        <w:rPr>
          <w:rFonts w:eastAsia="Times New Roman"/>
          <w:b w:val="0"/>
          <w:bCs w:val="0"/>
          <w:shd w:val="clear" w:color="auto" w:fill="ffffff"/>
          <w:lang w:eastAsia="ru-RU"/>
        </w:rPr>
        <w:t xml:space="preserve"> реестра недвижимости (ЕГРН).</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Выписка из ЕГРН поможет убедиться, что продавец действительно является законным владельцем земельного участка и имеет право его продавать. Персональные данные владельца недвижимости не указываются в выписке из ЕГРН, которую з</w:t>
      </w:r>
      <w:r>
        <w:rPr>
          <w:rFonts w:eastAsia="Times New Roman"/>
          <w:b w:val="0"/>
          <w:bCs w:val="0"/>
          <w:shd w:val="clear" w:color="auto" w:fill="ffffff"/>
          <w:lang w:eastAsia="ru-RU"/>
        </w:rPr>
        <w:t xml:space="preserve">аказывает третье лицо. Чтобы потенциальный покупатель мог проверить фамилию, имя и отчество собственника, продавцу следует запросить сведения ЕГРН или подать заявление на открытие данных в выписке.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выписке из ЕГРН необходимо обратить внимание на сведени</w:t>
      </w:r>
      <w:r>
        <w:rPr>
          <w:rFonts w:eastAsia="Times New Roman"/>
          <w:b w:val="0"/>
          <w:bCs w:val="0"/>
          <w:shd w:val="clear" w:color="auto" w:fill="ffffff"/>
          <w:lang w:eastAsia="ru-RU"/>
        </w:rPr>
        <w:t xml:space="preserve">я о местоположении границ земельного участка. Важно, чтобы фактические границы (например, забор) совпадали с данными из ЕГРН. В будущем это поможет избегать споров с соседями или проблем при оформлении документов.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1 марта 2025 года приобрести земельный </w:t>
      </w:r>
      <w:r>
        <w:rPr>
          <w:rFonts w:eastAsia="Times New Roman"/>
          <w:b w:val="0"/>
          <w:bCs w:val="0"/>
          <w:shd w:val="clear" w:color="auto" w:fill="ffffff"/>
          <w:lang w:eastAsia="ru-RU"/>
        </w:rPr>
        <w:t xml:space="preserve">участок, у которого не установлены границы, не представляется возможным. В таком случае собственнику (продавцу) необходимо обратиться к кадастровому инженеру для подготовки межевого плана по уточнению местоположения границ.</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Выписка из ЕГРН позволяет выясн</w:t>
      </w:r>
      <w:r>
        <w:rPr>
          <w:rFonts w:eastAsia="Times New Roman"/>
          <w:b w:val="0"/>
          <w:bCs w:val="0"/>
          <w:shd w:val="clear" w:color="auto" w:fill="ffffff"/>
          <w:lang w:eastAsia="ru-RU"/>
        </w:rPr>
        <w:t xml:space="preserve">ить, зарегистрированы ли в отношении земельного участка какие-либо ограничения/обременения (например, ипотека, аренда, аресты,запреты), не является ли он предметом судебного разбирательства.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Кроме того, выписка из ЕГРН содержит сведения о том, расположен </w:t>
      </w:r>
      <w:r>
        <w:rPr>
          <w:rFonts w:eastAsia="Times New Roman"/>
          <w:b w:val="0"/>
          <w:bCs w:val="0"/>
          <w:shd w:val="clear" w:color="auto" w:fill="ffffff"/>
          <w:lang w:eastAsia="ru-RU"/>
        </w:rPr>
        <w:t xml:space="preserve">ли земельный участок в границах зон с особыми условиями использования территорий. Такие ограничения могут препятствовать свободному использованию приобретаемого участка, на котором расположен дом, либо запрещать возведение построек.</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Запросить выписку из Е</w:t>
      </w:r>
      <w:r>
        <w:rPr>
          <w:rFonts w:eastAsia="Times New Roman"/>
          <w:b w:val="0"/>
          <w:bCs w:val="0"/>
          <w:shd w:val="clear" w:color="auto" w:fill="ffffff"/>
          <w:lang w:eastAsia="ru-RU"/>
        </w:rPr>
        <w:t xml:space="preserve">ГРН можно через </w:t>
      </w:r>
      <w:hyperlink r:id="rId35" w:tooltip="https://www.gosuslugi.ru/" w:history="1">
        <w:r>
          <w:rPr>
            <w:rFonts w:eastAsia="Times New Roman"/>
            <w:b w:val="0"/>
            <w:bCs w:val="0"/>
            <w:shd w:val="clear" w:color="auto" w:fill="ffffff"/>
            <w:lang w:eastAsia="ru-RU"/>
          </w:rPr>
          <w:t xml:space="preserve">портал Госуслуги</w:t>
        </w:r>
      </w:hyperlink>
      <w:r>
        <w:rPr>
          <w:rFonts w:eastAsia="Times New Roman"/>
          <w:b w:val="0"/>
          <w:bCs w:val="0"/>
          <w:shd w:val="clear" w:color="auto" w:fill="ffffff"/>
          <w:lang w:eastAsia="ru-RU"/>
        </w:rPr>
        <w:t xml:space="preserve">, на официальном сайте </w:t>
      </w:r>
      <w:hyperlink r:id="rId36" w:tooltip="https://rosreestr.gov.ru/" w:history="1">
        <w:r>
          <w:rPr>
            <w:rFonts w:eastAsia="Times New Roman"/>
            <w:b w:val="0"/>
            <w:bCs w:val="0"/>
            <w:shd w:val="clear" w:color="auto" w:fill="ffffff"/>
            <w:lang w:eastAsia="ru-RU"/>
          </w:rPr>
          <w:t xml:space="preserve">Росреестра</w:t>
        </w:r>
      </w:hyperlink>
      <w:r>
        <w:rPr>
          <w:rFonts w:eastAsia="Times New Roman"/>
          <w:b w:val="0"/>
          <w:bCs w:val="0"/>
          <w:shd w:val="clear" w:color="auto" w:fill="ffffff"/>
          <w:lang w:eastAsia="ru-RU"/>
        </w:rPr>
        <w:t xml:space="preserve">, в любом офисе</w:t>
      </w:r>
      <w:hyperlink r:id="rId37" w:tooltip="https://mfc-nso.ru/" w:history="1">
        <w:r>
          <w:rPr>
            <w:rFonts w:eastAsia="Times New Roman"/>
            <w:b w:val="0"/>
            <w:bCs w:val="0"/>
            <w:shd w:val="clear" w:color="auto" w:fill="ffffff"/>
            <w:lang w:eastAsia="ru-RU"/>
          </w:rPr>
          <w:t xml:space="preserve">МФЦ</w:t>
        </w:r>
      </w:hyperlink>
      <w:r>
        <w:rPr>
          <w:rFonts w:eastAsia="Times New Roman"/>
          <w:b w:val="0"/>
          <w:bCs w:val="0"/>
          <w:shd w:val="clear" w:color="auto" w:fill="ffffff"/>
          <w:lang w:eastAsia="ru-RU"/>
        </w:rPr>
        <w:t xml:space="preserve"> или в рамках выездного обслуживания регионального Роскадастра.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Таким образом, заказав выписку из ЕГРН, покупатель получит полную юридическую прозрачность сделки и защитит себя от финансовых потерь и мошенничества. </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8. </w:t>
      </w:r>
      <w:r>
        <w:rPr>
          <w:rFonts w:eastAsia="Times New Roman"/>
          <w:b/>
          <w:bCs/>
          <w:shd w:val="clear" w:color="auto" w:fill="ffffff"/>
          <w:lang w:eastAsia="ru-RU"/>
        </w:rPr>
        <w:t xml:space="preserve">Вопросы применения Национальной системы пространственных данных обсудили в ходе совещаний в Венгеровском и Чановском муниципальных округах.</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Руководство новосибирского Росреестра продолжает цикл встреч с главами муниципальных образований Новосибирской области по вопросам реализации государственной программы Российской Федерации «Национальная система пространственных данных» (ГП НСПД). Так, 9 ию</w:t>
      </w:r>
      <w:r>
        <w:rPr>
          <w:rFonts w:eastAsia="Times New Roman"/>
          <w:b w:val="0"/>
          <w:bCs w:val="0"/>
          <w:shd w:val="clear" w:color="auto" w:fill="ffffff"/>
          <w:lang w:eastAsia="ru-RU"/>
        </w:rPr>
        <w:t xml:space="preserve">ня состоялись совещания в с. Венгерово и р.п. Чаны при участии заместителя руководителя Управления</w:t>
      </w:r>
      <w:r>
        <w:rPr>
          <w:rFonts w:eastAsia="Times New Roman"/>
          <w:b w:val="0"/>
          <w:bCs w:val="0"/>
          <w:shd w:val="clear" w:color="auto" w:fill="ffffff"/>
          <w:lang w:eastAsia="ru-RU"/>
        </w:rPr>
        <w:t xml:space="preserve"> Ивана Пархоменко</w:t>
      </w:r>
      <w:r>
        <w:rPr>
          <w:rFonts w:eastAsia="Times New Roman"/>
          <w:b w:val="0"/>
          <w:bCs w:val="0"/>
          <w:shd w:val="clear" w:color="auto" w:fill="ffffff"/>
          <w:lang w:eastAsia="ru-RU"/>
        </w:rPr>
        <w:t xml:space="preserve">, главы администрации  Венгеровского муниципального округа </w:t>
      </w:r>
      <w:r>
        <w:rPr>
          <w:rFonts w:eastAsia="Times New Roman"/>
          <w:b w:val="0"/>
          <w:bCs w:val="0"/>
          <w:shd w:val="clear" w:color="auto" w:fill="ffffff"/>
          <w:lang w:eastAsia="ru-RU"/>
        </w:rPr>
        <w:t xml:space="preserve">Андрея Фишера</w:t>
      </w:r>
      <w:r>
        <w:rPr>
          <w:rFonts w:eastAsia="Times New Roman"/>
          <w:b w:val="0"/>
          <w:bCs w:val="0"/>
          <w:shd w:val="clear" w:color="auto" w:fill="ffffff"/>
          <w:lang w:eastAsia="ru-RU"/>
        </w:rPr>
        <w:t xml:space="preserve">, главы администрации Чановского муниципального округа Виктора Губера, а также представителей администраций данных муниципальных округов.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В ходе встреч обсуждены вопросы наполнения Единого государственного реестра недвижимости (ЕГРН) полными и точными сведениями, в том числе о границах территориальных зон и населенных пунктов, о правообладателях ранее учтенных объектов недвижимости, о регист</w:t>
      </w:r>
      <w:r>
        <w:rPr>
          <w:rFonts w:eastAsia="Times New Roman"/>
          <w:b w:val="0"/>
          <w:bCs w:val="0"/>
          <w:shd w:val="clear" w:color="auto" w:fill="ffffff"/>
          <w:lang w:eastAsia="ru-RU"/>
        </w:rPr>
        <w:t xml:space="preserve">рации муниципальной собственности.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настоящее время в ЕГРН содержатся сведения о границах 95,6% населенных пунктов и 77,1% территориальных зон Венгеровского муниципального округа. В ходе комплексных кадастровых работ (ККР), которые проводятся в этом году</w:t>
      </w:r>
      <w:r>
        <w:rPr>
          <w:rFonts w:eastAsia="Times New Roman"/>
          <w:b w:val="0"/>
          <w:bCs w:val="0"/>
          <w:shd w:val="clear" w:color="auto" w:fill="ffffff"/>
          <w:lang w:eastAsia="ru-RU"/>
        </w:rPr>
        <w:t xml:space="preserve"> на территории 26 кадастровых кварталов округа, будут установлены и границы соответствующих земельных участков, сейчас только в отношении 42% земельных участков установлены границы.</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По Чановскому муниципальному округу в ЕГРН внесено 87,9% границ населенны</w:t>
      </w:r>
      <w:r>
        <w:rPr>
          <w:rFonts w:eastAsia="Times New Roman"/>
          <w:b w:val="0"/>
          <w:bCs w:val="0"/>
          <w:shd w:val="clear" w:color="auto" w:fill="ffffff"/>
          <w:lang w:eastAsia="ru-RU"/>
        </w:rPr>
        <w:t xml:space="preserve">х пунктов, 24,6% границ территориальных зон. Доля земельных участков с границами составляет 37,9%, ККР запланированы на 2027 год, это позволит обеспечить наполнение реестра недвижимости полными и точными сведениями, в том числе и о границах участков.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Особ</w:t>
      </w:r>
      <w:r>
        <w:rPr>
          <w:rFonts w:eastAsia="Times New Roman"/>
          <w:b w:val="0"/>
          <w:bCs w:val="0"/>
          <w:shd w:val="clear" w:color="auto" w:fill="ffffff"/>
          <w:lang w:eastAsia="ru-RU"/>
        </w:rPr>
        <w:t xml:space="preserve">ое внимание в ходе встречи было уделено вопросам реализации ГП НСПД. </w:t>
      </w:r>
      <w:r>
        <w:rPr>
          <w:rFonts w:eastAsia="Times New Roman"/>
          <w:b w:val="0"/>
          <w:bCs w:val="0"/>
          <w:shd w:val="clear" w:color="auto" w:fill="ffffff"/>
          <w:lang w:eastAsia="ru-RU"/>
        </w:rPr>
        <w:t xml:space="preserve">«Перед Новосибирской областью стоят задачи по использованию всего функционала ФГИС ЕЦП НСПД органами местного самоуправления. В 2026 году идет работа по внедрению на цифровую платформу 12 муниципальных услуг»</w:t>
      </w:r>
      <w:r>
        <w:rPr>
          <w:rFonts w:eastAsia="Times New Roman"/>
          <w:b w:val="0"/>
          <w:bCs w:val="0"/>
          <w:shd w:val="clear" w:color="auto" w:fill="ffffff"/>
          <w:lang w:eastAsia="ru-RU"/>
        </w:rPr>
        <w:t xml:space="preserve">, – отметил заместитель руководителя новосибирского Росреестра </w:t>
      </w:r>
      <w:r>
        <w:rPr>
          <w:rFonts w:eastAsia="Times New Roman"/>
          <w:b w:val="0"/>
          <w:bCs w:val="0"/>
          <w:shd w:val="clear" w:color="auto" w:fill="ffffff"/>
          <w:lang w:eastAsia="ru-RU"/>
        </w:rPr>
        <w:t xml:space="preserve">Иван Пархоменко</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Проекты Росреестра «Земля для стройки» и «Земля для туризма» в Новосибирской области работают уже более пяти и трех лет соответственно. В р.п. Чаны выявлен 1 участок земли площадью 0,5 га для строительства, в Чановском муниципальном округе выявлено 7 об</w:t>
      </w:r>
      <w:r>
        <w:rPr>
          <w:rFonts w:eastAsia="Times New Roman"/>
          <w:b w:val="0"/>
          <w:bCs w:val="0"/>
          <w:shd w:val="clear" w:color="auto" w:fill="ffffff"/>
          <w:lang w:eastAsia="ru-RU"/>
        </w:rPr>
        <w:t xml:space="preserve">ъектов туристического интереса, некоторые из них широко известны (заказник «Кирзинский», озеро Карачи и другие). В Венгеровском муниципальном округе выявлено 8 участков площадью 26,3 га для строительства, выявлено 2 объекта туристического интереса. Обращае</w:t>
      </w:r>
      <w:r>
        <w:rPr>
          <w:rFonts w:eastAsia="Times New Roman"/>
          <w:b w:val="0"/>
          <w:bCs w:val="0"/>
          <w:shd w:val="clear" w:color="auto" w:fill="ffffff"/>
          <w:lang w:eastAsia="ru-RU"/>
        </w:rPr>
        <w:t xml:space="preserve">м внимание, что наличие свободных земельных участков дает возможность для привлечения инвестиций и развития региона. Найти такие участки можно с помощью </w:t>
      </w:r>
      <w:hyperlink r:id="rId38" w:tooltip="https://nspd.gov.ru/" w:history="1">
        <w:r>
          <w:rPr>
            <w:rFonts w:eastAsia="Times New Roman"/>
            <w:b w:val="0"/>
            <w:bCs w:val="0"/>
            <w:shd w:val="clear" w:color="auto" w:fill="ffffff"/>
            <w:lang w:eastAsia="ru-RU"/>
          </w:rPr>
          <w:t xml:space="preserve">Единой цифровой платформы</w:t>
        </w:r>
      </w:hyperlink>
      <w:r>
        <w:rPr>
          <w:rFonts w:eastAsia="Times New Roman"/>
          <w:b w:val="0"/>
          <w:bCs w:val="0"/>
          <w:shd w:val="clear" w:color="auto" w:fill="ffffff"/>
          <w:lang w:eastAsia="ru-RU"/>
        </w:rPr>
        <w:t xml:space="preserve"> «Национальная система пространственных данных».</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«Совместная работа во взаимодействии с новосибирским Росреестром направлена на качественное оказание муниципальных услуг населению и наполнение ЕГРН полными и точными сведениями. Подобные встречи помогают повысить эффективность рабочих процессов»</w:t>
      </w:r>
      <w:r>
        <w:rPr>
          <w:rFonts w:eastAsia="Times New Roman"/>
          <w:b w:val="0"/>
          <w:bCs w:val="0"/>
          <w:shd w:val="clear" w:color="auto" w:fill="ffffff"/>
          <w:lang w:eastAsia="ru-RU"/>
        </w:rPr>
        <w:t xml:space="preserve">, – прокомментировал </w:t>
      </w:r>
      <w:r>
        <w:rPr>
          <w:rFonts w:eastAsia="Times New Roman"/>
          <w:b w:val="0"/>
          <w:bCs w:val="0"/>
          <w:shd w:val="clear" w:color="auto" w:fill="ffffff"/>
          <w:lang w:eastAsia="ru-RU"/>
        </w:rPr>
        <w:t xml:space="preserve">Виктор Губер</w:t>
      </w:r>
      <w:r>
        <w:rPr>
          <w:rFonts w:eastAsia="Times New Roman"/>
          <w:b w:val="0"/>
          <w:bCs w:val="0"/>
          <w:shd w:val="clear" w:color="auto" w:fill="ffffff"/>
          <w:lang w:eastAsia="ru-RU"/>
        </w:rPr>
        <w:t xml:space="preserve">, глава администрации  Чановского муниципального округа Новосибирской области.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Участники встреч проинформированы о проведении в 2026 году государственной кадастровой оценки с использованием НСПД. Работы по государственной кадастровой оценке земель выполня</w:t>
      </w:r>
      <w:r>
        <w:rPr>
          <w:rFonts w:eastAsia="Times New Roman"/>
          <w:b w:val="0"/>
          <w:bCs w:val="0"/>
          <w:shd w:val="clear" w:color="auto" w:fill="ffffff"/>
          <w:lang w:eastAsia="ru-RU"/>
        </w:rPr>
        <w:t xml:space="preserve">ет государственное бюджетное учреждение Новосибирской области «Новосибирский центр кадастровой оценки и инвентаризации».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«Обсуждение ключевых задач в сфере земельно-имущественных отношений было направлено, прежде всего, на укрепление взаимодействия и коор</w:t>
      </w:r>
      <w:r>
        <w:rPr>
          <w:rFonts w:eastAsia="Times New Roman"/>
          <w:b w:val="0"/>
          <w:bCs w:val="0"/>
          <w:shd w:val="clear" w:color="auto" w:fill="ffffff"/>
          <w:lang w:eastAsia="ru-RU"/>
        </w:rPr>
        <w:t xml:space="preserve">динацию совместной деятельности», – отметил </w:t>
      </w:r>
      <w:r>
        <w:rPr>
          <w:rFonts w:eastAsia="Times New Roman"/>
          <w:b w:val="0"/>
          <w:bCs w:val="0"/>
          <w:shd w:val="clear" w:color="auto" w:fill="ffffff"/>
          <w:lang w:eastAsia="ru-RU"/>
        </w:rPr>
        <w:t xml:space="preserve">Андрей Фишер</w:t>
      </w:r>
      <w:r>
        <w:rPr>
          <w:rFonts w:eastAsia="Times New Roman"/>
          <w:b w:val="0"/>
          <w:bCs w:val="0"/>
          <w:shd w:val="clear" w:color="auto" w:fill="ffffff"/>
          <w:lang w:eastAsia="ru-RU"/>
        </w:rPr>
        <w:t xml:space="preserve">, глава администрации  Венгеровского муниципального округа Новосибирской области.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Для специалистов муниципальных образований доступны обучающие занятия в рамках Школы НСПД, которые открыты на площадках Сахалинского государственного университета и Северо-К</w:t>
      </w:r>
      <w:r>
        <w:rPr>
          <w:rFonts w:eastAsia="Times New Roman"/>
          <w:b w:val="0"/>
          <w:bCs w:val="0"/>
          <w:shd w:val="clear" w:color="auto" w:fill="ffffff"/>
          <w:lang w:eastAsia="ru-RU"/>
        </w:rPr>
        <w:t xml:space="preserve">авказского федерального университета. Подробнее можете ознакомиться в посте </w:t>
      </w:r>
      <w:hyperlink r:id="rId39" w:tooltip="https://vk.com/rosreestr_nsk?w=wall-46688657_13091" w:history="1">
        <w:r>
          <w:rPr>
            <w:rFonts w:eastAsia="Times New Roman"/>
            <w:b w:val="0"/>
            <w:bCs w:val="0"/>
            <w:shd w:val="clear" w:color="auto" w:fill="ffffff"/>
            <w:lang w:eastAsia="ru-RU"/>
          </w:rPr>
          <w:t xml:space="preserve">Росреестра</w:t>
        </w:r>
      </w:hyperlink>
      <w:r>
        <w:rPr>
          <w:rFonts w:eastAsia="Times New Roman"/>
          <w:b w:val="0"/>
          <w:bCs w:val="0"/>
          <w:shd w:val="clear" w:color="auto" w:fill="ffffff"/>
          <w:lang w:eastAsia="ru-RU"/>
        </w:rPr>
        <w:t xml:space="preserve">. </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14:ligatures w14:val="none"/>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r>
      <w:r>
        <w:rPr>
          <w:rFonts w:eastAsia="Times New Roman"/>
          <w:b/>
          <w:bCs/>
          <w:shd w:val="clear" w:color="auto" w:fill="ffffff"/>
          <w:lang w:eastAsia="ru-RU"/>
        </w:rPr>
        <w:t xml:space="preserve">9. </w:t>
      </w:r>
      <w:r>
        <w:rPr>
          <w:rFonts w:eastAsia="Times New Roman"/>
          <w:b/>
          <w:bCs/>
          <w:shd w:val="clear" w:color="auto" w:fill="ffffff"/>
          <w:lang w:eastAsia="ru-RU"/>
        </w:rPr>
        <w:t xml:space="preserve">Заседание Общественного совета новосибирского Росреестра.</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9 июня в Управлении Росреестра по Новосибирской области состоялось плановое заседание Общественного совета при Управлении.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Участники рассмотрели вопросы состояния работы новосибирского Росреестра с обращениями граждан, противодействия коррупции и  мошенни</w:t>
      </w:r>
      <w:r>
        <w:rPr>
          <w:rFonts w:eastAsia="Times New Roman"/>
          <w:b w:val="0"/>
          <w:bCs w:val="0"/>
          <w:shd w:val="clear" w:color="auto" w:fill="ffffff"/>
          <w:lang w:eastAsia="ru-RU"/>
        </w:rPr>
        <w:t xml:space="preserve">ческим действиям в сфере недвижимости при оказании услуг Росреестра.</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докладом выступила </w:t>
      </w:r>
      <w:r>
        <w:rPr>
          <w:rFonts w:eastAsia="Times New Roman"/>
          <w:b w:val="0"/>
          <w:bCs w:val="0"/>
          <w:shd w:val="clear" w:color="auto" w:fill="ffffff"/>
          <w:lang w:eastAsia="ru-RU"/>
        </w:rPr>
        <w:t xml:space="preserve">Татьяна Торганова</w:t>
      </w:r>
      <w:r>
        <w:rPr>
          <w:rFonts w:eastAsia="Times New Roman"/>
          <w:b w:val="0"/>
          <w:bCs w:val="0"/>
          <w:shd w:val="clear" w:color="auto" w:fill="ffffff"/>
          <w:lang w:eastAsia="ru-RU"/>
        </w:rPr>
        <w:t xml:space="preserve"> – начальник отдела общего обеспечения Управления и озвучила все способы и сервисы, которые помогают гражданам направлять  обращения и жалобы. В числе таких: почта, Ведомственный центр телефонного обслуживания (ВЦТО), система «ОНФ: Помощь», сервис «Досудеб</w:t>
      </w:r>
      <w:r>
        <w:rPr>
          <w:rFonts w:eastAsia="Times New Roman"/>
          <w:b w:val="0"/>
          <w:bCs w:val="0"/>
          <w:shd w:val="clear" w:color="auto" w:fill="ffffff"/>
          <w:lang w:eastAsia="ru-RU"/>
        </w:rPr>
        <w:t xml:space="preserve">ное обжалование», система «Типовое облачное решение по автоматизации контрольной (надзорной) деятельности», личный прием, социальные сети Управления. Особое внимание уделено Платформе обратной связи (ПОС). С начала 2026 года посредством данной системы полу</w:t>
      </w:r>
      <w:r>
        <w:rPr>
          <w:rFonts w:eastAsia="Times New Roman"/>
          <w:b w:val="0"/>
          <w:bCs w:val="0"/>
          <w:shd w:val="clear" w:color="auto" w:fill="ffffff"/>
          <w:lang w:eastAsia="ru-RU"/>
        </w:rPr>
        <w:t xml:space="preserve">чено свыше 3,6 тыс. обращений, большинство которых касались получения сведений из Единого государственного реестра недвижимости (ЕГРН).</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Председатель Общественного совета при новосибирском Росреестре</w:t>
      </w:r>
      <w:r>
        <w:rPr>
          <w:rFonts w:eastAsia="Times New Roman"/>
          <w:b w:val="0"/>
          <w:bCs w:val="0"/>
          <w:shd w:val="clear" w:color="auto" w:fill="ffffff"/>
          <w:lang w:eastAsia="ru-RU"/>
        </w:rPr>
        <w:t xml:space="preserve"> Надежда Вавилина </w:t>
      </w:r>
      <w:r>
        <w:rPr>
          <w:rFonts w:eastAsia="Times New Roman"/>
          <w:b w:val="0"/>
          <w:bCs w:val="0"/>
          <w:shd w:val="clear" w:color="auto" w:fill="ffffff"/>
          <w:lang w:eastAsia="ru-RU"/>
        </w:rPr>
        <w:t xml:space="preserve">отметила: </w:t>
      </w:r>
      <w:r>
        <w:rPr>
          <w:rFonts w:eastAsia="Times New Roman"/>
          <w:b w:val="0"/>
          <w:bCs w:val="0"/>
          <w:shd w:val="clear" w:color="auto" w:fill="ffffff"/>
          <w:lang w:eastAsia="ru-RU"/>
        </w:rPr>
        <w:t xml:space="preserve">«Современные возможности и создание новых сервисов способствуют повышению доступности для обращений наших граждан».</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Елена Роор</w:t>
      </w:r>
      <w:r>
        <w:rPr>
          <w:rFonts w:eastAsia="Times New Roman"/>
          <w:b w:val="0"/>
          <w:bCs w:val="0"/>
          <w:shd w:val="clear" w:color="auto" w:fill="ffffff"/>
          <w:lang w:eastAsia="ru-RU"/>
        </w:rPr>
        <w:t xml:space="preserve">, и.о. начальника отдела государственной службы и кадров Управления поделилась информацией о том как Управление ведет антикоррупционную деятельность: проводятся проверки, осуществляются консультации по вопросам применения законодательства о противодействии</w:t>
      </w:r>
      <w:r>
        <w:rPr>
          <w:rFonts w:eastAsia="Times New Roman"/>
          <w:b w:val="0"/>
          <w:bCs w:val="0"/>
          <w:shd w:val="clear" w:color="auto" w:fill="ffffff"/>
          <w:lang w:eastAsia="ru-RU"/>
        </w:rPr>
        <w:t xml:space="preserve"> коррупции. Таким образом, обеспечен системный подход к работе в данном направлении.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своем выступлении, Наталья Ивчатова, заместитель руководителя Управления, акцентировала внимание на защите недвижимости от мошенничества. Так, в 2026 году случаев подде</w:t>
      </w:r>
      <w:r>
        <w:rPr>
          <w:rFonts w:eastAsia="Times New Roman"/>
          <w:b w:val="0"/>
          <w:bCs w:val="0"/>
          <w:shd w:val="clear" w:color="auto" w:fill="ffffff"/>
          <w:lang w:eastAsia="ru-RU"/>
        </w:rPr>
        <w:t xml:space="preserve">лки документов не выявлено, но за последние 10 лет отмечено 70 фактов фальсификации.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«Новосибирский Росреестр успешно реализует комплекс мер, направленных на предупреждение и пресечение мошеннических действий. Важной составляющей проводимой работы являетс</w:t>
      </w:r>
      <w:r>
        <w:rPr>
          <w:rFonts w:eastAsia="Times New Roman"/>
          <w:b w:val="0"/>
          <w:bCs w:val="0"/>
          <w:shd w:val="clear" w:color="auto" w:fill="ffffff"/>
          <w:lang w:eastAsia="ru-RU"/>
        </w:rPr>
        <w:t xml:space="preserve">я проверка документов перед осуществлением регистрационных действий. Для усиления гарантий безопасности граждан предусмотрена возможность внесения в ЕГРН записи о невозможности регистрации прав без личного участия собственника. Начиная с 2018 года в реестр</w:t>
      </w:r>
      <w:r>
        <w:rPr>
          <w:rFonts w:eastAsia="Times New Roman"/>
          <w:b w:val="0"/>
          <w:bCs w:val="0"/>
          <w:shd w:val="clear" w:color="auto" w:fill="ffffff"/>
          <w:lang w:eastAsia="ru-RU"/>
        </w:rPr>
        <w:t xml:space="preserve"> недвижимости внесено свыше 98,9 тысяч отметок», – сообщила </w:t>
      </w:r>
      <w:r>
        <w:rPr>
          <w:rFonts w:eastAsia="Times New Roman"/>
          <w:b w:val="0"/>
          <w:bCs w:val="0"/>
          <w:shd w:val="clear" w:color="auto" w:fill="ffffff"/>
          <w:lang w:eastAsia="ru-RU"/>
        </w:rPr>
        <w:t xml:space="preserve">Наталья Ивчатова</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завершение заседания Общественный совет дал положительную оценку деятельности Управления по ключевым темам  и одобрил реализуемые новосибирским Росреестром мероприятия.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6. </w:t>
      </w:r>
      <w:r>
        <w:rPr>
          <w:rFonts w:eastAsia="Times New Roman"/>
          <w:b/>
          <w:bCs/>
          <w:shd w:val="clear" w:color="auto" w:fill="ffffff"/>
          <w:lang w:eastAsia="ru-RU"/>
        </w:rPr>
        <w:t xml:space="preserve">Ранее возникшие права новосибирцев зарегистрированы в отношении более 46 тысяч объектов недвижимости.</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 июня 2021 года зарегистрированы ранее возникшие права в отношении более 46 тысяч объектов недвижимости в Новосибирской области.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Речь идет об объектах, права на которые возникли до 31 января 1998 года. Работа по выявлению правообладателей и внесению соот</w:t>
      </w:r>
      <w:r>
        <w:rPr>
          <w:rFonts w:eastAsia="Times New Roman"/>
          <w:b w:val="0"/>
          <w:bCs w:val="0"/>
          <w:shd w:val="clear" w:color="auto" w:fill="ffffff"/>
          <w:lang w:eastAsia="ru-RU"/>
        </w:rPr>
        <w:t xml:space="preserve">ветствующих сведений в Единый государственный реестр недвижимости осуществляется в соответствии с Федеральным законом № 518-ФЗ органами местного самоуправления во взаимодействии с Росреестром.</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Новосибирцы могут пройти бесплатную процедуру регистрации ране</w:t>
      </w:r>
      <w:r>
        <w:rPr>
          <w:rFonts w:eastAsia="Times New Roman"/>
          <w:b w:val="0"/>
          <w:bCs w:val="0"/>
          <w:shd w:val="clear" w:color="auto" w:fill="ffffff"/>
          <w:lang w:eastAsia="ru-RU"/>
        </w:rPr>
        <w:t xml:space="preserve">е возникшего права самостоятельно. Для этого можно обратиться в любой офис МФЦ с заявлением о государственной регистрации ранее возникшего права, к заявлению необходимо приложить правоустанавливающий документ, это может быть договор приватизации или свидет</w:t>
      </w:r>
      <w:r>
        <w:rPr>
          <w:rFonts w:eastAsia="Times New Roman"/>
          <w:b w:val="0"/>
          <w:bCs w:val="0"/>
          <w:shd w:val="clear" w:color="auto" w:fill="ffffff"/>
          <w:lang w:eastAsia="ru-RU"/>
        </w:rPr>
        <w:t xml:space="preserve">ельство на право собственности на земельный участок, иные документы, заключенны до 1 января 1999 года. Государственная пошлина за регистрацию в  этом случае не уплачивается.</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Наличие в Едином государственном реестре недвижимости сведений о правообладателях</w:t>
      </w:r>
      <w:r>
        <w:rPr>
          <w:rFonts w:eastAsia="Times New Roman"/>
          <w:b w:val="0"/>
          <w:bCs w:val="0"/>
          <w:shd w:val="clear" w:color="auto" w:fill="ffffff"/>
          <w:lang w:eastAsia="ru-RU"/>
        </w:rPr>
        <w:t xml:space="preserve"> – это защита имущественных интересов собственника, что позволит избежать судебных споров и мошеннических действий. В противном случае риск потери имущества возрастает.</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bCs/>
          <w14:ligatures w14:val="none"/>
        </w:rPr>
        <w:pBdr>
          <w:top w:val="none" w:color="000000" w:sz="4" w:space="0"/>
          <w:left w:val="none" w:color="000000" w:sz="4" w:space="0"/>
          <w:bottom w:val="none" w:color="000000" w:sz="4" w:space="0"/>
          <w:right w:val="none" w:color="000000" w:sz="4" w:space="0"/>
        </w:pBdr>
      </w:pPr>
      <w:r>
        <w:rPr>
          <w:rFonts w:eastAsia="Times New Roman"/>
          <w:b/>
          <w:bCs/>
          <w:shd w:val="clear" w:color="auto" w:fill="ffffff"/>
          <w:lang w:eastAsia="ru-RU"/>
        </w:rPr>
        <w:t xml:space="preserve">8. </w:t>
      </w:r>
      <w:r>
        <w:rPr>
          <w:rFonts w:eastAsia="Times New Roman"/>
          <w:b/>
          <w:bCs/>
          <w:shd w:val="clear" w:color="auto" w:fill="ffffff"/>
          <w:lang w:eastAsia="ru-RU"/>
        </w:rPr>
        <w:t xml:space="preserve">Полпред на встрече с руководителем Управления Росреестра по Новосибирской области: «Недвижимость для людей – основа стабильности».</w:t>
      </w:r>
      <w:r>
        <w:rPr>
          <w:rFonts w:eastAsia="Times New Roman"/>
          <w:b/>
          <w:bCs/>
          <w14:ligatures w14:val="none"/>
        </w:rPr>
      </w:r>
      <w:r>
        <w:rPr>
          <w:rFonts w:eastAsia="Times New Roman"/>
          <w:b/>
          <w:bCs/>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В г. Новосибирске прошла рабочая встреча руководителя Управления Федеральной службы государственной регистрации, кадастра и картографии по Новосибирской области </w:t>
      </w:r>
      <w:r>
        <w:rPr>
          <w:rFonts w:eastAsia="Times New Roman"/>
          <w:b w:val="0"/>
          <w:bCs w:val="0"/>
          <w:shd w:val="clear" w:color="auto" w:fill="ffffff"/>
          <w:lang w:eastAsia="ru-RU"/>
        </w:rPr>
        <w:t xml:space="preserve">Светланы Рягузовой</w:t>
      </w:r>
      <w:r>
        <w:rPr>
          <w:rFonts w:eastAsia="Times New Roman"/>
          <w:b w:val="0"/>
          <w:bCs w:val="0"/>
          <w:shd w:val="clear" w:color="auto" w:fill="ffffff"/>
          <w:lang w:eastAsia="ru-RU"/>
        </w:rPr>
        <w:t xml:space="preserve"> с полномочным представителем Президента Российской Федерации в Сибирском федеральном округе </w:t>
      </w:r>
      <w:r>
        <w:rPr>
          <w:rFonts w:eastAsia="Times New Roman"/>
          <w:b w:val="0"/>
          <w:bCs w:val="0"/>
          <w:shd w:val="clear" w:color="auto" w:fill="ffffff"/>
          <w:lang w:eastAsia="ru-RU"/>
        </w:rPr>
        <w:t xml:space="preserve">Анатолием Серышевым</w:t>
      </w:r>
      <w:r>
        <w:rPr>
          <w:rFonts w:eastAsia="Times New Roman"/>
          <w:b w:val="0"/>
          <w:bCs w:val="0"/>
          <w:shd w:val="clear" w:color="auto" w:fill="ffffff"/>
          <w:lang w:eastAsia="ru-RU"/>
        </w:rPr>
        <w:t xml:space="preserve">.</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В ходе встречи обсуждены результаты работы по реализации приоритетных задач в сфере земли, недвижимости и пространственных данных в рамках исполнения поручений Президента Российской Федерации.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Светлана Рягузова</w:t>
      </w:r>
      <w:r>
        <w:rPr>
          <w:rFonts w:eastAsia="Times New Roman"/>
          <w:b w:val="0"/>
          <w:bCs w:val="0"/>
          <w:shd w:val="clear" w:color="auto" w:fill="ffffff"/>
          <w:lang w:eastAsia="ru-RU"/>
        </w:rPr>
        <w:t xml:space="preserve"> проинформировала о динамике развития регионального рынка недвижимости.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«Количество обращений новосибирцев в 2026 году за оформлением недвижимого имущества растет: с начала года принято более 186 тысяч заявлений на кадастровый учет и регистрацию прав и сделок, что на 2% больше показателя аналогичного периода прошлого года. Еже</w:t>
      </w:r>
      <w:r>
        <w:rPr>
          <w:rFonts w:eastAsia="Times New Roman"/>
          <w:b w:val="0"/>
          <w:bCs w:val="0"/>
          <w:shd w:val="clear" w:color="auto" w:fill="ffffff"/>
          <w:lang w:eastAsia="ru-RU"/>
        </w:rPr>
        <w:t xml:space="preserve">дневно новосибирский Росреестр регистрирует до 1,5 тысяч сделок, - отметила руководитель Управления Росреестра по Новосибирской области. - Объемы регистраций вторичного жилья в текущем году остаются на уровне 2025 года. Почти на 13% выросли объемы ипотечны</w:t>
      </w:r>
      <w:r>
        <w:rPr>
          <w:rFonts w:eastAsia="Times New Roman"/>
          <w:b w:val="0"/>
          <w:bCs w:val="0"/>
          <w:shd w:val="clear" w:color="auto" w:fill="ffffff"/>
          <w:lang w:eastAsia="ru-RU"/>
        </w:rPr>
        <w:t xml:space="preserve">х сделок с недвижимостью в регионе. На первичном рынке наблюдается небольшое снижение, на 4%, но при этом Новосибирская область сохраняет лидирующие позиции в Округе по регистрации договоров участия в долевом строительстве и входит в первую десятку лидеров</w:t>
      </w:r>
      <w:r>
        <w:rPr>
          <w:rFonts w:eastAsia="Times New Roman"/>
          <w:b w:val="0"/>
          <w:bCs w:val="0"/>
          <w:shd w:val="clear" w:color="auto" w:fill="ffffff"/>
          <w:lang w:eastAsia="ru-RU"/>
        </w:rPr>
        <w:t xml:space="preserve"> России».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Доля электронных обращений в регионе выросла до 65-70%, доля электронных ипотек достигла 92%, все договоры по незавершенным строительством объектам сегодня регистрируются только в электронном виде.</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Значительное внимание новосибирским Росреестром уделяется</w:t>
      </w:r>
      <w:r>
        <w:rPr>
          <w:rFonts w:eastAsia="Times New Roman"/>
          <w:b w:val="0"/>
          <w:bCs w:val="0"/>
          <w:shd w:val="clear" w:color="auto" w:fill="ffffff"/>
          <w:lang w:eastAsia="ru-RU"/>
        </w:rPr>
        <w:t xml:space="preserve"> вопросам защиты недвижимости от мошеннических действий. Новосибирская область вошла в десятку регионов с наибольшим количеством поданных заявлений о запрете регистрации сделок без личного участия собственника: за 5 месяцев 2026 года новосибирцы подали 61 </w:t>
      </w:r>
      <w:r>
        <w:rPr>
          <w:rFonts w:eastAsia="Times New Roman"/>
          <w:b w:val="0"/>
          <w:bCs w:val="0"/>
          <w:shd w:val="clear" w:color="auto" w:fill="ffffff"/>
          <w:lang w:eastAsia="ru-RU"/>
        </w:rPr>
        <w:t xml:space="preserve">тысячу таких заявлений.</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Рассмотрены вопросы формирования полного и точного реестра недвижимости, включая внесение сведений об административно-территориальных границах, о границах земельных участков, о правообладателях ранее учтенных объектов недвижимости </w:t>
      </w:r>
      <w:r>
        <w:rPr>
          <w:rFonts w:eastAsia="Times New Roman"/>
          <w:b w:val="0"/>
          <w:bCs w:val="0"/>
          <w:shd w:val="clear" w:color="auto" w:fill="ffffff"/>
          <w:lang w:eastAsia="ru-RU"/>
        </w:rPr>
        <w:t xml:space="preserve">в Новосибирской области.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Светлана Рягузова сообщила полпреду, что полные и точные сведения в Едином государственном реестре недвижимости (ЕГРН) – это основа отечественной цифровой платформы «Национальная система пространственных данных», которая призвана </w:t>
      </w:r>
      <w:r>
        <w:rPr>
          <w:rFonts w:eastAsia="Times New Roman"/>
          <w:b w:val="0"/>
          <w:bCs w:val="0"/>
          <w:shd w:val="clear" w:color="auto" w:fill="ffffff"/>
          <w:lang w:eastAsia="ru-RU"/>
        </w:rPr>
        <w:t xml:space="preserve">стать универсальным инструментом для работы с землей и недвижимостью. До конца 2026 года в Новосибирской области электронные сервисы ФГИС ЕЦП НСПД будут применяться для оказания государственных и муниципальных услуг.</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t xml:space="preserve">Приоритетными задачами на ближайшую пе</w:t>
      </w:r>
      <w:r>
        <w:rPr>
          <w:rFonts w:eastAsia="Times New Roman"/>
          <w:b w:val="0"/>
          <w:bCs w:val="0"/>
          <w:shd w:val="clear" w:color="auto" w:fill="ffffff"/>
          <w:lang w:eastAsia="ru-RU"/>
        </w:rPr>
        <w:t xml:space="preserve">рспективу участники встречи назвали завершение работ по внесению в Единый государственный реестр недвижимости сведений о границах населенных пунктов и территориальных зон, принятие мер по повышению капитализации территории.</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rPr>
        <w:t xml:space="preserve">«Недвижимость для людей – это основа стабильности, дом – это семья, дети. Поэтому ключевая задача органов власти – обеспечить удобство, безопасность и прозрачность оформления объектов в собственность. Вижу, что Росреестр работает в этом направлении и в Нов</w:t>
      </w:r>
      <w:r>
        <w:rPr>
          <w:rFonts w:eastAsia="Times New Roman"/>
          <w:b w:val="0"/>
          <w:bCs w:val="0"/>
          <w:shd w:val="clear" w:color="auto" w:fill="ffffff"/>
          <w:lang w:eastAsia="ru-RU"/>
        </w:rPr>
        <w:t xml:space="preserve">осибирской области, и в других регионах Сибири. Прошу не останавливаться на достигнутом и продолжать двигаться к тем целям, которые обозначил глава государства»</w:t>
      </w:r>
      <w:r>
        <w:rPr>
          <w:rFonts w:eastAsia="Times New Roman"/>
          <w:b w:val="0"/>
          <w:bCs w:val="0"/>
          <w:shd w:val="clear" w:color="auto" w:fill="ffffff"/>
          <w:lang w:eastAsia="ru-RU"/>
        </w:rPr>
        <w:t xml:space="preserve">, – сказал </w:t>
      </w:r>
      <w:r>
        <w:rPr>
          <w:rFonts w:eastAsia="Times New Roman"/>
          <w:b w:val="0"/>
          <w:bCs w:val="0"/>
          <w:shd w:val="clear" w:color="auto" w:fill="ffffff"/>
          <w:lang w:eastAsia="ru-RU"/>
        </w:rPr>
        <w:t xml:space="preserve">Анатолий Серышев.</w:t>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shd w:val="clear" w:color="auto" w:fill="ffffff"/>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shd w:val="clear" w:color="auto" w:fill="ffffff"/>
          <w:lang w:eastAsia="ru-RU"/>
          <w14:ligatures w14:val="none"/>
        </w:rPr>
      </w:r>
      <w:r>
        <w:rPr>
          <w:rFonts w:eastAsia="Times New Roman"/>
          <w:b w:val="0"/>
          <w:bCs w:val="0"/>
          <w:shd w:val="clear" w:color="auto" w:fill="ffffff"/>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ind w:firstLine="709"/>
        <w:jc w:val="both"/>
        <w:spacing w:after="0" w:line="252" w:lineRule="auto"/>
        <w:rPr>
          <w:rFonts w:eastAsia="Times New Roman"/>
          <w:b w:val="0"/>
          <w:bCs w:val="0"/>
          <w:lang w:eastAsia="ru-RU"/>
          <w14:ligatures w14:val="none"/>
        </w:rPr>
        <w:pBdr>
          <w:top w:val="none" w:color="000000" w:sz="4" w:space="0"/>
          <w:left w:val="none" w:color="000000" w:sz="4" w:space="0"/>
          <w:bottom w:val="none" w:color="000000" w:sz="4" w:space="0"/>
          <w:right w:val="none" w:color="000000" w:sz="4" w:space="0"/>
        </w:pBdr>
      </w:pPr>
      <w:r>
        <w:rPr>
          <w:rFonts w:eastAsia="Times New Roman"/>
          <w:b w:val="0"/>
          <w:bCs w:val="0"/>
          <w:shd w:val="clear" w:color="auto" w:fill="ffffff"/>
          <w:lang w:eastAsia="ru-RU"/>
        </w:rPr>
      </w:r>
      <w:r>
        <w:rPr>
          <w:rFonts w:eastAsia="Times New Roman"/>
          <w:b w:val="0"/>
          <w:bCs w:val="0"/>
          <w:lang w:eastAsia="ru-RU"/>
          <w14:ligatures w14:val="none"/>
        </w:rPr>
      </w:r>
      <w:r>
        <w:rPr>
          <w:rFonts w:eastAsia="Times New Roman"/>
          <w:b w:val="0"/>
          <w:bCs w:val="0"/>
          <w:lang w:eastAsia="ru-RU"/>
          <w14:ligatures w14:val="none"/>
        </w:rPr>
      </w:r>
    </w:p>
    <w:p>
      <w:pPr>
        <w:contextualSpacing/>
        <w:ind w:left="0" w:right="0" w:firstLine="709"/>
        <w:spacing w:after="180"/>
        <w:shd w:val="clear" w:color="ffffff" w:fill="ffffff"/>
        <w:rPr>
          <w:b w:val="0"/>
          <w:bCs w:val="0"/>
          <w:highlight w:val="none"/>
          <w14:ligatures w14:val="none"/>
        </w:rPr>
        <w:pBdr>
          <w:top w:val="none" w:color="000000" w:sz="4" w:space="0"/>
          <w:left w:val="none" w:color="000000" w:sz="4" w:space="0"/>
          <w:bottom w:val="none" w:color="000000" w:sz="4" w:space="0"/>
          <w:right w:val="none" w:color="000000" w:sz="4" w:space="0"/>
        </w:pBdr>
      </w:pPr>
      <w:r>
        <w:rPr>
          <w:b w:val="0"/>
          <w:bCs w:val="0"/>
          <w:highlight w:val="none"/>
        </w:rPr>
      </w:r>
      <w:r>
        <w:rPr>
          <w:b w:val="0"/>
          <w:bCs w:val="0"/>
          <w:highlight w:val="none"/>
          <w14:ligatures w14:val="none"/>
        </w:rPr>
      </w:r>
      <w:r>
        <w:rPr>
          <w:b w:val="0"/>
          <w:bCs w:val="0"/>
          <w:highlight w:val="none"/>
          <w14:ligatures w14:val="none"/>
        </w:rPr>
      </w:r>
    </w:p>
    <w:sectPr>
      <w:footnotePr/>
      <w:endnotePr/>
      <w:type w:val="nextPage"/>
      <w:pgSz w:w="11906" w:h="16838" w:orient="portrait"/>
      <w:pgMar w:top="1134" w:right="850" w:bottom="1134" w:left="1701" w:header="708" w:footer="708" w:gutter="0"/>
      <w:cols w:num="1" w:sep="0" w:space="708" w:equalWidth="1"/>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10000000000000000"/>
  </w:font>
  <w:font w:name="Courier New">
    <w:panose1 w:val="02070409020205020404"/>
  </w:font>
  <w:font w:name="Symbol">
    <w:panose1 w:val="05010000000000000000"/>
  </w:font>
  <w:font w:name="Calibri Light">
    <w:panose1 w:val="020F0502020204030204"/>
  </w:font>
  <w:font w:name="Tahoma">
    <w:panose1 w:val="020B0604030504040204"/>
  </w:font>
  <w:font w:name="Calibri">
    <w:panose1 w:val="020F0502020204030204"/>
  </w:font>
  <w:font w:name="Times New Roman">
    <w:panose1 w:val="02020603050405020304"/>
  </w:font>
  <w:font w:name="Arial">
    <w:panose1 w:val="020B0604020202020204"/>
  </w:font>
  <w:font w:name="Cambria">
    <w:panose1 w:val="0204050305040603020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43"/>
    </w:pPr>
    <w:r/>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17"/>
      <w:jc w:val="center"/>
      <w:rPr>
        <w:color w:val="auto"/>
        <w:highlight w:val="none"/>
      </w:rPr>
    </w:pPr>
    <w:fldSimple w:instr="PAGE \* MERGEFORMAT">
      <w:r>
        <w:rPr>
          <w:color w:val="auto"/>
        </w:rPr>
        <w:t xml:space="preserve">1</w:t>
      </w:r>
    </w:fldSimple>
    <w:r>
      <w:rPr>
        <w:color w:val="auto"/>
      </w:rPr>
    </w:r>
    <w:r>
      <w:rPr>
        <w:color w:val="auto"/>
        <w:highlight w:val="none"/>
      </w:rPr>
    </w:r>
    <w:r>
      <w:rPr>
        <w:color w:val="auto"/>
        <w:highlight w:val="none"/>
      </w:rPr>
    </w:r>
  </w:p>
  <w:p>
    <w:pPr>
      <w:pStyle w:val="1017"/>
      <w:jc w:val="center"/>
    </w:pPr>
    <w:r>
      <w:rPr>
        <w:color w:val="auto"/>
        <w:highlight w:val="none"/>
      </w:rPr>
    </w:r>
    <w:r>
      <w:rPr>
        <w:color w:val="auto"/>
        <w:highlight w:val="none"/>
      </w:rPr>
    </w:r>
    <w:r/>
  </w:p>
  <w:p>
    <w:pPr>
      <w:pStyle w:val="1017"/>
    </w:pPr>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1017"/>
      <w:jc w:val="center"/>
      <w:rPr>
        <w:color w:val="ffffff" w:themeColor="background1"/>
      </w:rPr>
    </w:pPr>
    <w:fldSimple w:instr="PAGE \* MERGEFORMAT">
      <w:r>
        <w:rPr>
          <w:color w:val="ffffff" w:themeColor="background1"/>
        </w:rPr>
        <w:t xml:space="preserve">1</w:t>
      </w:r>
    </w:fldSimple>
    <w:r>
      <w:rPr>
        <w:color w:val="ffffff" w:themeColor="background1"/>
      </w:rPr>
    </w:r>
    <w:r>
      <w:rPr>
        <w:color w:val="ffffff" w:themeColor="background1"/>
      </w:rPr>
    </w:r>
    <w:r>
      <w:rPr>
        <w:color w:val="ffffff" w:themeColor="background1"/>
      </w:rPr>
    </w:r>
  </w:p>
  <w:p>
    <w:pPr>
      <w:pStyle w:val="1017"/>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2"/>
      <w:numFmt w:val="decimal"/>
      <w:isLgl w:val="false"/>
      <w:suff w:val="tab"/>
      <w:lvlText w:val="%1."/>
      <w:lvlJc w:val="left"/>
      <w:pPr>
        <w:ind w:left="1083" w:hanging="375"/>
      </w:pPr>
      <w:rPr>
        <w:rFonts w:hint="default"/>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1">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2">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
      <w:lvlJc w:val="left"/>
      <w:pPr>
        <w:ind w:left="1440" w:hanging="360"/>
        <w:tabs>
          <w:tab w:val="num" w:pos="1440" w:leader="none"/>
        </w:tabs>
      </w:pPr>
      <w:rPr>
        <w:rFonts w:hint="default" w:ascii="Symbol" w:hAnsi="Symbol"/>
        <w:sz w:val="20"/>
      </w:rPr>
    </w:lvl>
    <w:lvl w:ilvl="2">
      <w:start w:val="1"/>
      <w:numFmt w:val="bullet"/>
      <w:isLgl w:val="false"/>
      <w:suff w:val="tab"/>
      <w:lvlText w:val=""/>
      <w:lvlJc w:val="left"/>
      <w:pPr>
        <w:ind w:left="2160" w:hanging="360"/>
        <w:tabs>
          <w:tab w:val="num" w:pos="2160" w:leader="none"/>
        </w:tabs>
      </w:pPr>
      <w:rPr>
        <w:rFonts w:hint="default" w:ascii="Symbol" w:hAnsi="Symbol"/>
        <w:sz w:val="20"/>
      </w:rPr>
    </w:lvl>
    <w:lvl w:ilvl="3">
      <w:start w:val="1"/>
      <w:numFmt w:val="bullet"/>
      <w:isLgl w:val="false"/>
      <w:suff w:val="tab"/>
      <w:lvlText w:val=""/>
      <w:lvlJc w:val="left"/>
      <w:pPr>
        <w:ind w:left="2880" w:hanging="360"/>
        <w:tabs>
          <w:tab w:val="num" w:pos="2880" w:leader="none"/>
        </w:tabs>
      </w:pPr>
      <w:rPr>
        <w:rFonts w:hint="default" w:ascii="Symbol" w:hAnsi="Symbol"/>
        <w:sz w:val="20"/>
      </w:rPr>
    </w:lvl>
    <w:lvl w:ilvl="4">
      <w:start w:val="1"/>
      <w:numFmt w:val="bullet"/>
      <w:isLgl w:val="false"/>
      <w:suff w:val="tab"/>
      <w:lvlText w:val=""/>
      <w:lvlJc w:val="left"/>
      <w:pPr>
        <w:ind w:left="3600" w:hanging="360"/>
        <w:tabs>
          <w:tab w:val="num" w:pos="3600" w:leader="none"/>
        </w:tabs>
      </w:pPr>
      <w:rPr>
        <w:rFonts w:hint="default" w:ascii="Symbol" w:hAnsi="Symbol"/>
        <w:sz w:val="20"/>
      </w:rPr>
    </w:lvl>
    <w:lvl w:ilvl="5">
      <w:start w:val="1"/>
      <w:numFmt w:val="bullet"/>
      <w:isLgl w:val="false"/>
      <w:suff w:val="tab"/>
      <w:lvlText w:val=""/>
      <w:lvlJc w:val="left"/>
      <w:pPr>
        <w:ind w:left="4320" w:hanging="360"/>
        <w:tabs>
          <w:tab w:val="num" w:pos="4320" w:leader="none"/>
        </w:tabs>
      </w:pPr>
      <w:rPr>
        <w:rFonts w:hint="default" w:ascii="Symbol" w:hAnsi="Symbol"/>
        <w:sz w:val="20"/>
      </w:rPr>
    </w:lvl>
    <w:lvl w:ilvl="6">
      <w:start w:val="1"/>
      <w:numFmt w:val="bullet"/>
      <w:isLgl w:val="false"/>
      <w:suff w:val="tab"/>
      <w:lvlText w:val=""/>
      <w:lvlJc w:val="left"/>
      <w:pPr>
        <w:ind w:left="5040" w:hanging="360"/>
        <w:tabs>
          <w:tab w:val="num" w:pos="5040" w:leader="none"/>
        </w:tabs>
      </w:pPr>
      <w:rPr>
        <w:rFonts w:hint="default" w:ascii="Symbol" w:hAnsi="Symbol"/>
        <w:sz w:val="20"/>
      </w:rPr>
    </w:lvl>
    <w:lvl w:ilvl="7">
      <w:start w:val="1"/>
      <w:numFmt w:val="bullet"/>
      <w:isLgl w:val="false"/>
      <w:suff w:val="tab"/>
      <w:lvlText w:val=""/>
      <w:lvlJc w:val="left"/>
      <w:pPr>
        <w:ind w:left="5760" w:hanging="360"/>
        <w:tabs>
          <w:tab w:val="num" w:pos="5760" w:leader="none"/>
        </w:tabs>
      </w:pPr>
      <w:rPr>
        <w:rFonts w:hint="default" w:ascii="Symbol" w:hAnsi="Symbol"/>
        <w:sz w:val="20"/>
      </w:rPr>
    </w:lvl>
    <w:lvl w:ilvl="8">
      <w:start w:val="1"/>
      <w:numFmt w:val="bullet"/>
      <w:isLgl w:val="false"/>
      <w:suff w:val="tab"/>
      <w:lvlText w:val=""/>
      <w:lvlJc w:val="left"/>
      <w:pPr>
        <w:ind w:left="6480" w:hanging="360"/>
        <w:tabs>
          <w:tab w:val="num" w:pos="6480" w:leader="none"/>
        </w:tabs>
      </w:pPr>
      <w:rPr>
        <w:rFonts w:hint="default" w:ascii="Symbol" w:hAnsi="Symbol"/>
        <w:sz w:val="20"/>
      </w:rPr>
    </w:lvl>
  </w:abstractNum>
  <w:abstractNum w:abstractNumId="3">
    <w:multiLevelType w:val="hybridMultilevel"/>
    <w:lvl w:ilvl="0">
      <w:start w:val="1"/>
      <w:numFmt w:val="bullet"/>
      <w:isLgl w:val="false"/>
      <w:suff w:val="tab"/>
      <w:lvlText w:val=""/>
      <w:lvlJc w:val="left"/>
      <w:pPr>
        <w:ind w:left="1429" w:hanging="360"/>
      </w:pPr>
      <w:rPr>
        <w:rFonts w:hint="default" w:ascii="Symbol" w:hAnsi="Symbol"/>
      </w:rPr>
    </w:lvl>
    <w:lvl w:ilvl="1">
      <w:start w:val="1"/>
      <w:numFmt w:val="lowerLetter"/>
      <w:isLgl w:val="false"/>
      <w:suff w:val="tab"/>
      <w:lvlText w:val="%2."/>
      <w:lvlJc w:val="left"/>
      <w:pPr>
        <w:ind w:left="2149" w:hanging="360"/>
      </w:pPr>
    </w:lvl>
    <w:lvl w:ilvl="2">
      <w:start w:val="1"/>
      <w:numFmt w:val="lowerRoman"/>
      <w:isLgl w:val="false"/>
      <w:suff w:val="tab"/>
      <w:lvlText w:val="%3."/>
      <w:lvlJc w:val="right"/>
      <w:pPr>
        <w:ind w:left="2869" w:hanging="180"/>
      </w:pPr>
    </w:lvl>
    <w:lvl w:ilvl="3">
      <w:start w:val="1"/>
      <w:numFmt w:val="decimal"/>
      <w:isLgl w:val="false"/>
      <w:suff w:val="tab"/>
      <w:lvlText w:val="%4."/>
      <w:lvlJc w:val="left"/>
      <w:pPr>
        <w:ind w:left="3589" w:hanging="360"/>
      </w:pPr>
    </w:lvl>
    <w:lvl w:ilvl="4">
      <w:start w:val="1"/>
      <w:numFmt w:val="lowerLetter"/>
      <w:isLgl w:val="false"/>
      <w:suff w:val="tab"/>
      <w:lvlText w:val="%5."/>
      <w:lvlJc w:val="left"/>
      <w:pPr>
        <w:ind w:left="4309" w:hanging="360"/>
      </w:pPr>
    </w:lvl>
    <w:lvl w:ilvl="5">
      <w:start w:val="1"/>
      <w:numFmt w:val="lowerRoman"/>
      <w:isLgl w:val="false"/>
      <w:suff w:val="tab"/>
      <w:lvlText w:val="%6."/>
      <w:lvlJc w:val="right"/>
      <w:pPr>
        <w:ind w:left="5029" w:hanging="180"/>
      </w:pPr>
    </w:lvl>
    <w:lvl w:ilvl="6">
      <w:start w:val="1"/>
      <w:numFmt w:val="decimal"/>
      <w:isLgl w:val="false"/>
      <w:suff w:val="tab"/>
      <w:lvlText w:val="%7."/>
      <w:lvlJc w:val="left"/>
      <w:pPr>
        <w:ind w:left="5749" w:hanging="360"/>
      </w:pPr>
    </w:lvl>
    <w:lvl w:ilvl="7">
      <w:start w:val="1"/>
      <w:numFmt w:val="lowerLetter"/>
      <w:isLgl w:val="false"/>
      <w:suff w:val="tab"/>
      <w:lvlText w:val="%8."/>
      <w:lvlJc w:val="left"/>
      <w:pPr>
        <w:ind w:left="6469" w:hanging="360"/>
      </w:pPr>
    </w:lvl>
    <w:lvl w:ilvl="8">
      <w:start w:val="1"/>
      <w:numFmt w:val="lowerRoman"/>
      <w:isLgl w:val="false"/>
      <w:suff w:val="tab"/>
      <w:lvlText w:val="%9."/>
      <w:lvlJc w:val="right"/>
      <w:pPr>
        <w:ind w:left="7189" w:hanging="180"/>
      </w:pPr>
    </w:lvl>
  </w:abstractNum>
  <w:abstractNum w:abstractNumId="4">
    <w:multiLevelType w:val="hybridMultilevel"/>
    <w:lvl w:ilvl="0">
      <w:start w:val="10"/>
      <w:numFmt w:val="decimal"/>
      <w:isLgl w:val="false"/>
      <w:suff w:val="tab"/>
      <w:lvlText w:val="%1."/>
      <w:lvlJc w:val="left"/>
      <w:pPr>
        <w:ind w:left="1083" w:hanging="375"/>
      </w:pPr>
      <w:rPr>
        <w:rFonts w:hint="default"/>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5">
    <w:multiLevelType w:val="hybridMultilevel"/>
    <w:lvl w:ilvl="0">
      <w:start w:val="1"/>
      <w:numFmt w:val="decimal"/>
      <w:isLgl w:val="false"/>
      <w:suff w:val="tab"/>
      <w:lvlText w:val="%1."/>
      <w:lvlJc w:val="left"/>
      <w:pPr>
        <w:ind w:left="1174" w:hanging="465"/>
      </w:pPr>
      <w:rPr>
        <w:rFonts w:hint="default"/>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6">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
      <w:lvlJc w:val="left"/>
      <w:pPr>
        <w:ind w:left="1440" w:hanging="360"/>
        <w:tabs>
          <w:tab w:val="num" w:pos="1440" w:leader="none"/>
        </w:tabs>
      </w:pPr>
      <w:rPr>
        <w:rFonts w:hint="default" w:ascii="Symbol" w:hAnsi="Symbol"/>
        <w:sz w:val="20"/>
      </w:rPr>
    </w:lvl>
    <w:lvl w:ilvl="2">
      <w:start w:val="1"/>
      <w:numFmt w:val="bullet"/>
      <w:isLgl w:val="false"/>
      <w:suff w:val="tab"/>
      <w:lvlText w:val=""/>
      <w:lvlJc w:val="left"/>
      <w:pPr>
        <w:ind w:left="2160" w:hanging="360"/>
        <w:tabs>
          <w:tab w:val="num" w:pos="2160" w:leader="none"/>
        </w:tabs>
      </w:pPr>
      <w:rPr>
        <w:rFonts w:hint="default" w:ascii="Symbol" w:hAnsi="Symbol"/>
        <w:sz w:val="20"/>
      </w:rPr>
    </w:lvl>
    <w:lvl w:ilvl="3">
      <w:start w:val="1"/>
      <w:numFmt w:val="bullet"/>
      <w:isLgl w:val="false"/>
      <w:suff w:val="tab"/>
      <w:lvlText w:val=""/>
      <w:lvlJc w:val="left"/>
      <w:pPr>
        <w:ind w:left="2880" w:hanging="360"/>
        <w:tabs>
          <w:tab w:val="num" w:pos="2880" w:leader="none"/>
        </w:tabs>
      </w:pPr>
      <w:rPr>
        <w:rFonts w:hint="default" w:ascii="Symbol" w:hAnsi="Symbol"/>
        <w:sz w:val="20"/>
      </w:rPr>
    </w:lvl>
    <w:lvl w:ilvl="4">
      <w:start w:val="1"/>
      <w:numFmt w:val="bullet"/>
      <w:isLgl w:val="false"/>
      <w:suff w:val="tab"/>
      <w:lvlText w:val=""/>
      <w:lvlJc w:val="left"/>
      <w:pPr>
        <w:ind w:left="3600" w:hanging="360"/>
        <w:tabs>
          <w:tab w:val="num" w:pos="3600" w:leader="none"/>
        </w:tabs>
      </w:pPr>
      <w:rPr>
        <w:rFonts w:hint="default" w:ascii="Symbol" w:hAnsi="Symbol"/>
        <w:sz w:val="20"/>
      </w:rPr>
    </w:lvl>
    <w:lvl w:ilvl="5">
      <w:start w:val="1"/>
      <w:numFmt w:val="bullet"/>
      <w:isLgl w:val="false"/>
      <w:suff w:val="tab"/>
      <w:lvlText w:val=""/>
      <w:lvlJc w:val="left"/>
      <w:pPr>
        <w:ind w:left="4320" w:hanging="360"/>
        <w:tabs>
          <w:tab w:val="num" w:pos="4320" w:leader="none"/>
        </w:tabs>
      </w:pPr>
      <w:rPr>
        <w:rFonts w:hint="default" w:ascii="Symbol" w:hAnsi="Symbol"/>
        <w:sz w:val="20"/>
      </w:rPr>
    </w:lvl>
    <w:lvl w:ilvl="6">
      <w:start w:val="1"/>
      <w:numFmt w:val="bullet"/>
      <w:isLgl w:val="false"/>
      <w:suff w:val="tab"/>
      <w:lvlText w:val=""/>
      <w:lvlJc w:val="left"/>
      <w:pPr>
        <w:ind w:left="5040" w:hanging="360"/>
        <w:tabs>
          <w:tab w:val="num" w:pos="5040" w:leader="none"/>
        </w:tabs>
      </w:pPr>
      <w:rPr>
        <w:rFonts w:hint="default" w:ascii="Symbol" w:hAnsi="Symbol"/>
        <w:sz w:val="20"/>
      </w:rPr>
    </w:lvl>
    <w:lvl w:ilvl="7">
      <w:start w:val="1"/>
      <w:numFmt w:val="bullet"/>
      <w:isLgl w:val="false"/>
      <w:suff w:val="tab"/>
      <w:lvlText w:val=""/>
      <w:lvlJc w:val="left"/>
      <w:pPr>
        <w:ind w:left="5760" w:hanging="360"/>
        <w:tabs>
          <w:tab w:val="num" w:pos="5760" w:leader="none"/>
        </w:tabs>
      </w:pPr>
      <w:rPr>
        <w:rFonts w:hint="default" w:ascii="Symbol" w:hAnsi="Symbol"/>
        <w:sz w:val="20"/>
      </w:rPr>
    </w:lvl>
    <w:lvl w:ilvl="8">
      <w:start w:val="1"/>
      <w:numFmt w:val="bullet"/>
      <w:isLgl w:val="false"/>
      <w:suff w:val="tab"/>
      <w:lvlText w:val=""/>
      <w:lvlJc w:val="left"/>
      <w:pPr>
        <w:ind w:left="6480" w:hanging="360"/>
        <w:tabs>
          <w:tab w:val="num" w:pos="6480" w:leader="none"/>
        </w:tabs>
      </w:pPr>
      <w:rPr>
        <w:rFonts w:hint="default" w:ascii="Symbol" w:hAnsi="Symbol"/>
        <w:sz w:val="20"/>
      </w:rPr>
    </w:lvl>
  </w:abstractNum>
  <w:abstractNum w:abstractNumId="7">
    <w:multiLevelType w:val="hybridMultilevel"/>
    <w:lvl w:ilvl="0">
      <w:start w:val="1"/>
      <w:numFmt w:val="decimal"/>
      <w:isLgl w:val="false"/>
      <w:suff w:val="tab"/>
      <w:lvlText w:val="%1."/>
      <w:lvlJc w:val="left"/>
      <w:pPr>
        <w:ind w:left="1068" w:hanging="360"/>
      </w:pPr>
      <w:rPr>
        <w:rFonts w:hint="default"/>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8">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9">
    <w:multiLevelType w:val="hybridMultilevel"/>
    <w:lvl w:ilvl="0">
      <w:start w:val="1"/>
      <w:numFmt w:val="decimal"/>
      <w:isLgl w:val="false"/>
      <w:suff w:val="tab"/>
      <w:lvlText w:val="%1."/>
      <w:lvlJc w:val="left"/>
      <w:pPr>
        <w:ind w:left="1144" w:hanging="435"/>
      </w:pPr>
      <w:rPr>
        <w:rFonts w:hint="default"/>
        <w:color w:val="auto"/>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10">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12">
    <w:multiLevelType w:val="hybridMultilevel"/>
    <w:lvl w:ilvl="0">
      <w:start w:val="7"/>
      <w:numFmt w:val="decimal"/>
      <w:isLgl w:val="false"/>
      <w:suff w:val="tab"/>
      <w:lvlText w:val="%1."/>
      <w:lvlJc w:val="left"/>
      <w:pPr>
        <w:ind w:left="1069" w:hanging="360"/>
      </w:pPr>
      <w:rPr>
        <w:rFonts w:hint="default"/>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13">
    <w:multiLevelType w:val="hybridMultilevel"/>
    <w:lvl w:ilvl="0">
      <w:start w:val="1"/>
      <w:numFmt w:val="bullet"/>
      <w:isLgl w:val="false"/>
      <w:suff w:val="tab"/>
      <w:lvlText w:val=""/>
      <w:lvlJc w:val="left"/>
      <w:pPr>
        <w:ind w:left="1429" w:hanging="360"/>
      </w:pPr>
      <w:rPr>
        <w:rFonts w:hint="default" w:ascii="Symbol" w:hAnsi="Symbol"/>
      </w:rPr>
    </w:lvl>
    <w:lvl w:ilvl="1">
      <w:start w:val="1"/>
      <w:numFmt w:val="bullet"/>
      <w:isLgl w:val="false"/>
      <w:suff w:val="tab"/>
      <w:lvlText w:val="o"/>
      <w:lvlJc w:val="left"/>
      <w:pPr>
        <w:ind w:left="2149" w:hanging="360"/>
      </w:pPr>
      <w:rPr>
        <w:rFonts w:hint="default" w:ascii="Courier New" w:hAnsi="Courier New" w:cs="Courier New"/>
      </w:rPr>
    </w:lvl>
    <w:lvl w:ilvl="2">
      <w:start w:val="1"/>
      <w:numFmt w:val="bullet"/>
      <w:isLgl w:val="false"/>
      <w:suff w:val="tab"/>
      <w:lvlText w:val=""/>
      <w:lvlJc w:val="left"/>
      <w:pPr>
        <w:ind w:left="2869" w:hanging="360"/>
      </w:pPr>
      <w:rPr>
        <w:rFonts w:hint="default" w:ascii="Wingdings" w:hAnsi="Wingdings"/>
      </w:rPr>
    </w:lvl>
    <w:lvl w:ilvl="3">
      <w:start w:val="1"/>
      <w:numFmt w:val="bullet"/>
      <w:isLgl w:val="false"/>
      <w:suff w:val="tab"/>
      <w:lvlText w:val=""/>
      <w:lvlJc w:val="left"/>
      <w:pPr>
        <w:ind w:left="3589" w:hanging="360"/>
      </w:pPr>
      <w:rPr>
        <w:rFonts w:hint="default" w:ascii="Symbol" w:hAnsi="Symbol"/>
      </w:rPr>
    </w:lvl>
    <w:lvl w:ilvl="4">
      <w:start w:val="1"/>
      <w:numFmt w:val="bullet"/>
      <w:isLgl w:val="false"/>
      <w:suff w:val="tab"/>
      <w:lvlText w:val="o"/>
      <w:lvlJc w:val="left"/>
      <w:pPr>
        <w:ind w:left="4309" w:hanging="360"/>
      </w:pPr>
      <w:rPr>
        <w:rFonts w:hint="default" w:ascii="Courier New" w:hAnsi="Courier New" w:cs="Courier New"/>
      </w:rPr>
    </w:lvl>
    <w:lvl w:ilvl="5">
      <w:start w:val="1"/>
      <w:numFmt w:val="bullet"/>
      <w:isLgl w:val="false"/>
      <w:suff w:val="tab"/>
      <w:lvlText w:val=""/>
      <w:lvlJc w:val="left"/>
      <w:pPr>
        <w:ind w:left="5029" w:hanging="360"/>
      </w:pPr>
      <w:rPr>
        <w:rFonts w:hint="default" w:ascii="Wingdings" w:hAnsi="Wingdings"/>
      </w:rPr>
    </w:lvl>
    <w:lvl w:ilvl="6">
      <w:start w:val="1"/>
      <w:numFmt w:val="bullet"/>
      <w:isLgl w:val="false"/>
      <w:suff w:val="tab"/>
      <w:lvlText w:val=""/>
      <w:lvlJc w:val="left"/>
      <w:pPr>
        <w:ind w:left="5749" w:hanging="360"/>
      </w:pPr>
      <w:rPr>
        <w:rFonts w:hint="default" w:ascii="Symbol" w:hAnsi="Symbol"/>
      </w:rPr>
    </w:lvl>
    <w:lvl w:ilvl="7">
      <w:start w:val="1"/>
      <w:numFmt w:val="bullet"/>
      <w:isLgl w:val="false"/>
      <w:suff w:val="tab"/>
      <w:lvlText w:val="o"/>
      <w:lvlJc w:val="left"/>
      <w:pPr>
        <w:ind w:left="6469" w:hanging="360"/>
      </w:pPr>
      <w:rPr>
        <w:rFonts w:hint="default" w:ascii="Courier New" w:hAnsi="Courier New" w:cs="Courier New"/>
      </w:rPr>
    </w:lvl>
    <w:lvl w:ilvl="8">
      <w:start w:val="1"/>
      <w:numFmt w:val="bullet"/>
      <w:isLgl w:val="false"/>
      <w:suff w:val="tab"/>
      <w:lvlText w:val=""/>
      <w:lvlJc w:val="left"/>
      <w:pPr>
        <w:ind w:left="7189" w:hanging="360"/>
      </w:pPr>
      <w:rPr>
        <w:rFonts w:hint="default" w:ascii="Wingdings" w:hAnsi="Wingdings"/>
      </w:rPr>
    </w:lvl>
  </w:abstractNum>
  <w:abstractNum w:abstractNumId="14">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15">
    <w:multiLevelType w:val="hybridMultilevel"/>
    <w:lvl w:ilvl="0">
      <w:start w:val="4"/>
      <w:numFmt w:val="decimal"/>
      <w:isLgl w:val="false"/>
      <w:suff w:val="tab"/>
      <w:lvlText w:val="%1."/>
      <w:lvlJc w:val="left"/>
      <w:pPr>
        <w:ind w:left="1068" w:hanging="360"/>
      </w:pPr>
      <w:rPr>
        <w:rFonts w:hint="default"/>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16">
    <w:multiLevelType w:val="hybridMultilevel"/>
    <w:lvl w:ilvl="0">
      <w:start w:val="1"/>
      <w:numFmt w:val="bullet"/>
      <w:isLgl w:val="false"/>
      <w:suff w:val="tab"/>
      <w:lvlText w:val=""/>
      <w:lvlJc w:val="left"/>
      <w:pPr>
        <w:ind w:left="720" w:hanging="360"/>
      </w:pPr>
      <w:rPr>
        <w:rFonts w:hint="default" w:ascii="Symbol" w:hAnsi="Symbol"/>
      </w:rPr>
    </w:lvl>
    <w:lvl w:ilvl="1">
      <w:start w:val="1"/>
      <w:numFmt w:val="bullet"/>
      <w:isLgl w:val="false"/>
      <w:suff w:val="tab"/>
      <w:lvlText w:val="o"/>
      <w:lvlJc w:val="left"/>
      <w:pPr>
        <w:ind w:left="1440" w:hanging="360"/>
      </w:pPr>
      <w:rPr>
        <w:rFonts w:hint="default" w:ascii="Courier New" w:hAnsi="Courier New" w:cs="Courier New"/>
      </w:rPr>
    </w:lvl>
    <w:lvl w:ilvl="2">
      <w:start w:val="1"/>
      <w:numFmt w:val="bullet"/>
      <w:isLgl w:val="false"/>
      <w:suff w:val="tab"/>
      <w:lvlText w:val=""/>
      <w:lvlJc w:val="left"/>
      <w:pPr>
        <w:ind w:left="2160" w:hanging="360"/>
      </w:pPr>
      <w:rPr>
        <w:rFonts w:hint="default" w:ascii="Wingdings" w:hAnsi="Wingdings"/>
      </w:rPr>
    </w:lvl>
    <w:lvl w:ilvl="3">
      <w:start w:val="1"/>
      <w:numFmt w:val="bullet"/>
      <w:isLgl w:val="false"/>
      <w:suff w:val="tab"/>
      <w:lvlText w:val=""/>
      <w:lvlJc w:val="left"/>
      <w:pPr>
        <w:ind w:left="2880" w:hanging="360"/>
      </w:pPr>
      <w:rPr>
        <w:rFonts w:hint="default" w:ascii="Symbol" w:hAnsi="Symbol"/>
      </w:rPr>
    </w:lvl>
    <w:lvl w:ilvl="4">
      <w:start w:val="1"/>
      <w:numFmt w:val="bullet"/>
      <w:isLgl w:val="false"/>
      <w:suff w:val="tab"/>
      <w:lvlText w:val="o"/>
      <w:lvlJc w:val="left"/>
      <w:pPr>
        <w:ind w:left="3600" w:hanging="360"/>
      </w:pPr>
      <w:rPr>
        <w:rFonts w:hint="default" w:ascii="Courier New" w:hAnsi="Courier New" w:cs="Courier New"/>
      </w:rPr>
    </w:lvl>
    <w:lvl w:ilvl="5">
      <w:start w:val="1"/>
      <w:numFmt w:val="bullet"/>
      <w:isLgl w:val="false"/>
      <w:suff w:val="tab"/>
      <w:lvlText w:val=""/>
      <w:lvlJc w:val="left"/>
      <w:pPr>
        <w:ind w:left="4320" w:hanging="360"/>
      </w:pPr>
      <w:rPr>
        <w:rFonts w:hint="default" w:ascii="Wingdings" w:hAnsi="Wingdings"/>
      </w:rPr>
    </w:lvl>
    <w:lvl w:ilvl="6">
      <w:start w:val="1"/>
      <w:numFmt w:val="bullet"/>
      <w:isLgl w:val="false"/>
      <w:suff w:val="tab"/>
      <w:lvlText w:val=""/>
      <w:lvlJc w:val="left"/>
      <w:pPr>
        <w:ind w:left="5040" w:hanging="360"/>
      </w:pPr>
      <w:rPr>
        <w:rFonts w:hint="default" w:ascii="Symbol" w:hAnsi="Symbol"/>
      </w:rPr>
    </w:lvl>
    <w:lvl w:ilvl="7">
      <w:start w:val="1"/>
      <w:numFmt w:val="bullet"/>
      <w:isLgl w:val="false"/>
      <w:suff w:val="tab"/>
      <w:lvlText w:val="o"/>
      <w:lvlJc w:val="left"/>
      <w:pPr>
        <w:ind w:left="5760" w:hanging="360"/>
      </w:pPr>
      <w:rPr>
        <w:rFonts w:hint="default" w:ascii="Courier New" w:hAnsi="Courier New" w:cs="Courier New"/>
      </w:rPr>
    </w:lvl>
    <w:lvl w:ilvl="8">
      <w:start w:val="1"/>
      <w:numFmt w:val="bullet"/>
      <w:isLgl w:val="false"/>
      <w:suff w:val="tab"/>
      <w:lvlText w:val=""/>
      <w:lvlJc w:val="left"/>
      <w:pPr>
        <w:ind w:left="6480" w:hanging="360"/>
      </w:pPr>
      <w:rPr>
        <w:rFonts w:hint="default" w:ascii="Wingdings" w:hAnsi="Wingdings"/>
      </w:rPr>
    </w:lvl>
  </w:abstractNum>
  <w:abstractNum w:abstractNumId="17">
    <w:multiLevelType w:val="hybridMultilevel"/>
    <w:lvl w:ilvl="0">
      <w:start w:val="1"/>
      <w:numFmt w:val="decimal"/>
      <w:isLgl w:val="false"/>
      <w:suff w:val="tab"/>
      <w:lvlText w:val="%1."/>
      <w:lvlJc w:val="left"/>
      <w:pPr>
        <w:ind w:left="1429" w:hanging="360"/>
      </w:pPr>
      <w:rPr>
        <w:rFonts w:hint="default"/>
      </w:rPr>
    </w:lvl>
    <w:lvl w:ilvl="1">
      <w:start w:val="1"/>
      <w:numFmt w:val="lowerLetter"/>
      <w:isLgl w:val="false"/>
      <w:suff w:val="tab"/>
      <w:lvlText w:val="%2."/>
      <w:lvlJc w:val="left"/>
      <w:pPr>
        <w:ind w:left="2149" w:hanging="360"/>
      </w:pPr>
    </w:lvl>
    <w:lvl w:ilvl="2">
      <w:start w:val="1"/>
      <w:numFmt w:val="lowerRoman"/>
      <w:isLgl w:val="false"/>
      <w:suff w:val="tab"/>
      <w:lvlText w:val="%3."/>
      <w:lvlJc w:val="right"/>
      <w:pPr>
        <w:ind w:left="2869" w:hanging="180"/>
      </w:pPr>
    </w:lvl>
    <w:lvl w:ilvl="3">
      <w:start w:val="1"/>
      <w:numFmt w:val="decimal"/>
      <w:isLgl w:val="false"/>
      <w:suff w:val="tab"/>
      <w:lvlText w:val="%4."/>
      <w:lvlJc w:val="left"/>
      <w:pPr>
        <w:ind w:left="3589" w:hanging="360"/>
      </w:pPr>
    </w:lvl>
    <w:lvl w:ilvl="4">
      <w:start w:val="1"/>
      <w:numFmt w:val="lowerLetter"/>
      <w:isLgl w:val="false"/>
      <w:suff w:val="tab"/>
      <w:lvlText w:val="%5."/>
      <w:lvlJc w:val="left"/>
      <w:pPr>
        <w:ind w:left="4309" w:hanging="360"/>
      </w:pPr>
    </w:lvl>
    <w:lvl w:ilvl="5">
      <w:start w:val="1"/>
      <w:numFmt w:val="lowerRoman"/>
      <w:isLgl w:val="false"/>
      <w:suff w:val="tab"/>
      <w:lvlText w:val="%6."/>
      <w:lvlJc w:val="right"/>
      <w:pPr>
        <w:ind w:left="5029" w:hanging="180"/>
      </w:pPr>
    </w:lvl>
    <w:lvl w:ilvl="6">
      <w:start w:val="1"/>
      <w:numFmt w:val="decimal"/>
      <w:isLgl w:val="false"/>
      <w:suff w:val="tab"/>
      <w:lvlText w:val="%7."/>
      <w:lvlJc w:val="left"/>
      <w:pPr>
        <w:ind w:left="5749" w:hanging="360"/>
      </w:pPr>
    </w:lvl>
    <w:lvl w:ilvl="7">
      <w:start w:val="1"/>
      <w:numFmt w:val="lowerLetter"/>
      <w:isLgl w:val="false"/>
      <w:suff w:val="tab"/>
      <w:lvlText w:val="%8."/>
      <w:lvlJc w:val="left"/>
      <w:pPr>
        <w:ind w:left="6469" w:hanging="360"/>
      </w:pPr>
    </w:lvl>
    <w:lvl w:ilvl="8">
      <w:start w:val="1"/>
      <w:numFmt w:val="lowerRoman"/>
      <w:isLgl w:val="false"/>
      <w:suff w:val="tab"/>
      <w:lvlText w:val="%9."/>
      <w:lvlJc w:val="right"/>
      <w:pPr>
        <w:ind w:left="7189" w:hanging="180"/>
      </w:pPr>
    </w:lvl>
  </w:abstractNum>
  <w:abstractNum w:abstractNumId="18">
    <w:multiLevelType w:val="hybridMultilevel"/>
    <w:lvl w:ilvl="0">
      <w:start w:val="1"/>
      <w:numFmt w:val="decimal"/>
      <w:isLgl w:val="false"/>
      <w:suff w:val="tab"/>
      <w:lvlText w:val="%1."/>
      <w:lvlJc w:val="left"/>
      <w:pPr>
        <w:ind w:left="1779"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9">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20">
    <w:multiLevelType w:val="hybridMultilevel"/>
    <w:lvl w:ilvl="0">
      <w:start w:val="19"/>
      <w:numFmt w:val="decimal"/>
      <w:isLgl w:val="false"/>
      <w:suff w:val="tab"/>
      <w:lvlText w:val="%1."/>
      <w:lvlJc w:val="left"/>
      <w:pPr>
        <w:ind w:left="1084" w:hanging="375"/>
      </w:pPr>
      <w:rPr>
        <w:rFonts w:hint="default"/>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21">
    <w:multiLevelType w:val="hybridMultilevel"/>
    <w:lvl w:ilvl="0">
      <w:start w:val="1"/>
      <w:numFmt w:val="decimal"/>
      <w:isLgl w:val="false"/>
      <w:suff w:val="tab"/>
      <w:lvlText w:val="%1."/>
      <w:lvlJc w:val="left"/>
      <w:pPr>
        <w:ind w:left="1069" w:hanging="360"/>
      </w:pPr>
      <w:rPr>
        <w:rFonts w:hint="default"/>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22">
    <w:multiLevelType w:val="hybridMultilevel"/>
    <w:lvl w:ilvl="0">
      <w:start w:val="1"/>
      <w:numFmt w:val="decimal"/>
      <w:isLgl w:val="false"/>
      <w:suff w:val="tab"/>
      <w:lvlText w:val="%1."/>
      <w:lvlJc w:val="left"/>
      <w:pPr>
        <w:ind w:left="720" w:hanging="360"/>
        <w:tabs>
          <w:tab w:val="num" w:pos="720" w:leader="none"/>
        </w:tabs>
      </w:pPr>
    </w:lvl>
    <w:lvl w:ilvl="1">
      <w:start w:val="1"/>
      <w:numFmt w:val="decimal"/>
      <w:isLgl w:val="false"/>
      <w:suff w:val="tab"/>
      <w:lvlText w:val="%2."/>
      <w:lvlJc w:val="left"/>
      <w:pPr>
        <w:ind w:left="1440" w:hanging="360"/>
        <w:tabs>
          <w:tab w:val="num" w:pos="1440" w:leader="none"/>
        </w:tabs>
      </w:pPr>
    </w:lvl>
    <w:lvl w:ilvl="2">
      <w:start w:val="1"/>
      <w:numFmt w:val="decimal"/>
      <w:isLgl w:val="false"/>
      <w:suff w:val="tab"/>
      <w:lvlText w:val="%3."/>
      <w:lvlJc w:val="left"/>
      <w:pPr>
        <w:ind w:left="2160" w:hanging="360"/>
        <w:tabs>
          <w:tab w:val="num" w:pos="2160" w:leader="none"/>
        </w:tabs>
      </w:pPr>
    </w:lvl>
    <w:lvl w:ilvl="3">
      <w:start w:val="1"/>
      <w:numFmt w:val="decimal"/>
      <w:isLgl w:val="false"/>
      <w:suff w:val="tab"/>
      <w:lvlText w:val="%4."/>
      <w:lvlJc w:val="left"/>
      <w:pPr>
        <w:ind w:left="2880" w:hanging="360"/>
        <w:tabs>
          <w:tab w:val="num" w:pos="2880" w:leader="none"/>
        </w:tabs>
      </w:pPr>
    </w:lvl>
    <w:lvl w:ilvl="4">
      <w:start w:val="1"/>
      <w:numFmt w:val="decimal"/>
      <w:isLgl w:val="false"/>
      <w:suff w:val="tab"/>
      <w:lvlText w:val="%5."/>
      <w:lvlJc w:val="left"/>
      <w:pPr>
        <w:ind w:left="3600" w:hanging="360"/>
        <w:tabs>
          <w:tab w:val="num" w:pos="3600" w:leader="none"/>
        </w:tabs>
      </w:pPr>
    </w:lvl>
    <w:lvl w:ilvl="5">
      <w:start w:val="1"/>
      <w:numFmt w:val="decimal"/>
      <w:isLgl w:val="false"/>
      <w:suff w:val="tab"/>
      <w:lvlText w:val="%6."/>
      <w:lvlJc w:val="left"/>
      <w:pPr>
        <w:ind w:left="4320" w:hanging="360"/>
        <w:tabs>
          <w:tab w:val="num" w:pos="4320" w:leader="none"/>
        </w:tabs>
      </w:pPr>
    </w:lvl>
    <w:lvl w:ilvl="6">
      <w:start w:val="1"/>
      <w:numFmt w:val="decimal"/>
      <w:isLgl w:val="false"/>
      <w:suff w:val="tab"/>
      <w:lvlText w:val="%7."/>
      <w:lvlJc w:val="left"/>
      <w:pPr>
        <w:ind w:left="5040" w:hanging="360"/>
        <w:tabs>
          <w:tab w:val="num" w:pos="5040" w:leader="none"/>
        </w:tabs>
      </w:pPr>
    </w:lvl>
    <w:lvl w:ilvl="7">
      <w:start w:val="1"/>
      <w:numFmt w:val="decimal"/>
      <w:isLgl w:val="false"/>
      <w:suff w:val="tab"/>
      <w:lvlText w:val="%8."/>
      <w:lvlJc w:val="left"/>
      <w:pPr>
        <w:ind w:left="5760" w:hanging="360"/>
        <w:tabs>
          <w:tab w:val="num" w:pos="5760" w:leader="none"/>
        </w:tabs>
      </w:pPr>
    </w:lvl>
    <w:lvl w:ilvl="8">
      <w:start w:val="1"/>
      <w:numFmt w:val="decimal"/>
      <w:isLgl w:val="false"/>
      <w:suff w:val="tab"/>
      <w:lvlText w:val="%9."/>
      <w:lvlJc w:val="left"/>
      <w:pPr>
        <w:ind w:left="6480" w:hanging="360"/>
        <w:tabs>
          <w:tab w:val="num" w:pos="6480" w:leader="none"/>
        </w:tabs>
      </w:pPr>
    </w:lvl>
  </w:abstractNum>
  <w:abstractNum w:abstractNumId="23">
    <w:multiLevelType w:val="hybridMultilevel"/>
    <w:lvl w:ilvl="0">
      <w:start w:val="2"/>
      <w:numFmt w:val="decimal"/>
      <w:isLgl w:val="false"/>
      <w:suff w:val="tab"/>
      <w:lvlText w:val="%1."/>
      <w:lvlJc w:val="left"/>
      <w:pPr>
        <w:ind w:left="1068" w:hanging="360"/>
      </w:pPr>
      <w:rPr>
        <w:rFonts w:hint="default"/>
        <w:b/>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24">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25">
    <w:multiLevelType w:val="hybridMultilevel"/>
    <w:lvl w:ilvl="0">
      <w:start w:val="1"/>
      <w:numFmt w:val="decimal"/>
      <w:isLgl w:val="false"/>
      <w:suff w:val="tab"/>
      <w:lvlText w:val="%1."/>
      <w:lvlJc w:val="left"/>
      <w:pPr>
        <w:ind w:left="720" w:hanging="360"/>
        <w:tabs>
          <w:tab w:val="num" w:pos="720" w:leader="none"/>
        </w:tabs>
      </w:pPr>
    </w:lvl>
    <w:lvl w:ilvl="1">
      <w:start w:val="1"/>
      <w:numFmt w:val="decimal"/>
      <w:isLgl w:val="false"/>
      <w:suff w:val="tab"/>
      <w:lvlText w:val="%2."/>
      <w:lvlJc w:val="left"/>
      <w:pPr>
        <w:ind w:left="1440" w:hanging="360"/>
        <w:tabs>
          <w:tab w:val="num" w:pos="1440" w:leader="none"/>
        </w:tabs>
      </w:pPr>
    </w:lvl>
    <w:lvl w:ilvl="2">
      <w:start w:val="1"/>
      <w:numFmt w:val="decimal"/>
      <w:isLgl w:val="false"/>
      <w:suff w:val="tab"/>
      <w:lvlText w:val="%3."/>
      <w:lvlJc w:val="left"/>
      <w:pPr>
        <w:ind w:left="2160" w:hanging="360"/>
        <w:tabs>
          <w:tab w:val="num" w:pos="2160" w:leader="none"/>
        </w:tabs>
      </w:pPr>
    </w:lvl>
    <w:lvl w:ilvl="3">
      <w:start w:val="1"/>
      <w:numFmt w:val="decimal"/>
      <w:isLgl w:val="false"/>
      <w:suff w:val="tab"/>
      <w:lvlText w:val="%4."/>
      <w:lvlJc w:val="left"/>
      <w:pPr>
        <w:ind w:left="2880" w:hanging="360"/>
        <w:tabs>
          <w:tab w:val="num" w:pos="2880" w:leader="none"/>
        </w:tabs>
      </w:pPr>
    </w:lvl>
    <w:lvl w:ilvl="4">
      <w:start w:val="1"/>
      <w:numFmt w:val="decimal"/>
      <w:isLgl w:val="false"/>
      <w:suff w:val="tab"/>
      <w:lvlText w:val="%5."/>
      <w:lvlJc w:val="left"/>
      <w:pPr>
        <w:ind w:left="3600" w:hanging="360"/>
        <w:tabs>
          <w:tab w:val="num" w:pos="3600" w:leader="none"/>
        </w:tabs>
      </w:pPr>
    </w:lvl>
    <w:lvl w:ilvl="5">
      <w:start w:val="1"/>
      <w:numFmt w:val="decimal"/>
      <w:isLgl w:val="false"/>
      <w:suff w:val="tab"/>
      <w:lvlText w:val="%6."/>
      <w:lvlJc w:val="left"/>
      <w:pPr>
        <w:ind w:left="4320" w:hanging="360"/>
        <w:tabs>
          <w:tab w:val="num" w:pos="4320" w:leader="none"/>
        </w:tabs>
      </w:pPr>
    </w:lvl>
    <w:lvl w:ilvl="6">
      <w:start w:val="1"/>
      <w:numFmt w:val="decimal"/>
      <w:isLgl w:val="false"/>
      <w:suff w:val="tab"/>
      <w:lvlText w:val="%7."/>
      <w:lvlJc w:val="left"/>
      <w:pPr>
        <w:ind w:left="5040" w:hanging="360"/>
        <w:tabs>
          <w:tab w:val="num" w:pos="5040" w:leader="none"/>
        </w:tabs>
      </w:pPr>
    </w:lvl>
    <w:lvl w:ilvl="7">
      <w:start w:val="1"/>
      <w:numFmt w:val="decimal"/>
      <w:isLgl w:val="false"/>
      <w:suff w:val="tab"/>
      <w:lvlText w:val="%8."/>
      <w:lvlJc w:val="left"/>
      <w:pPr>
        <w:ind w:left="5760" w:hanging="360"/>
        <w:tabs>
          <w:tab w:val="num" w:pos="5760" w:leader="none"/>
        </w:tabs>
      </w:pPr>
    </w:lvl>
    <w:lvl w:ilvl="8">
      <w:start w:val="1"/>
      <w:numFmt w:val="decimal"/>
      <w:isLgl w:val="false"/>
      <w:suff w:val="tab"/>
      <w:lvlText w:val="%9."/>
      <w:lvlJc w:val="left"/>
      <w:pPr>
        <w:ind w:left="6480" w:hanging="360"/>
        <w:tabs>
          <w:tab w:val="num" w:pos="6480" w:leader="none"/>
        </w:tabs>
      </w:pPr>
    </w:lvl>
  </w:abstractNum>
  <w:abstractNum w:abstractNumId="26">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27">
    <w:multiLevelType w:val="hybridMultilevel"/>
    <w:lvl w:ilvl="0">
      <w:start w:val="1"/>
      <w:numFmt w:val="decimal"/>
      <w:isLgl w:val="false"/>
      <w:suff w:val="tab"/>
      <w:lvlText w:val="%1."/>
      <w:lvlJc w:val="left"/>
      <w:pPr>
        <w:ind w:left="1068" w:hanging="360"/>
      </w:pPr>
      <w:rPr>
        <w:rFonts w:hint="default"/>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28">
    <w:multiLevelType w:val="hybridMultilevel"/>
    <w:lvl w:ilvl="0">
      <w:start w:val="1"/>
      <w:numFmt w:val="bullet"/>
      <w:isLgl w:val="false"/>
      <w:suff w:val="tab"/>
      <w:lvlText w:val=""/>
      <w:lvlJc w:val="left"/>
      <w:pPr>
        <w:ind w:left="1260" w:hanging="360"/>
      </w:pPr>
      <w:rPr>
        <w:rFonts w:hint="default" w:ascii="Symbol" w:hAnsi="Symbol"/>
      </w:rPr>
    </w:lvl>
    <w:lvl w:ilvl="1">
      <w:start w:val="1"/>
      <w:numFmt w:val="bullet"/>
      <w:isLgl w:val="false"/>
      <w:suff w:val="tab"/>
      <w:lvlText w:val="o"/>
      <w:lvlJc w:val="left"/>
      <w:pPr>
        <w:ind w:left="1980" w:hanging="360"/>
      </w:pPr>
      <w:rPr>
        <w:rFonts w:hint="default" w:ascii="Courier New" w:hAnsi="Courier New" w:cs="Courier New"/>
      </w:rPr>
    </w:lvl>
    <w:lvl w:ilvl="2">
      <w:start w:val="1"/>
      <w:numFmt w:val="bullet"/>
      <w:isLgl w:val="false"/>
      <w:suff w:val="tab"/>
      <w:lvlText w:val=""/>
      <w:lvlJc w:val="left"/>
      <w:pPr>
        <w:ind w:left="2700" w:hanging="360"/>
      </w:pPr>
      <w:rPr>
        <w:rFonts w:hint="default" w:ascii="Wingdings" w:hAnsi="Wingdings"/>
      </w:rPr>
    </w:lvl>
    <w:lvl w:ilvl="3">
      <w:start w:val="1"/>
      <w:numFmt w:val="bullet"/>
      <w:isLgl w:val="false"/>
      <w:suff w:val="tab"/>
      <w:lvlText w:val=""/>
      <w:lvlJc w:val="left"/>
      <w:pPr>
        <w:ind w:left="3420" w:hanging="360"/>
      </w:pPr>
      <w:rPr>
        <w:rFonts w:hint="default" w:ascii="Symbol" w:hAnsi="Symbol"/>
      </w:rPr>
    </w:lvl>
    <w:lvl w:ilvl="4">
      <w:start w:val="1"/>
      <w:numFmt w:val="bullet"/>
      <w:isLgl w:val="false"/>
      <w:suff w:val="tab"/>
      <w:lvlText w:val="o"/>
      <w:lvlJc w:val="left"/>
      <w:pPr>
        <w:ind w:left="4140" w:hanging="360"/>
      </w:pPr>
      <w:rPr>
        <w:rFonts w:hint="default" w:ascii="Courier New" w:hAnsi="Courier New" w:cs="Courier New"/>
      </w:rPr>
    </w:lvl>
    <w:lvl w:ilvl="5">
      <w:start w:val="1"/>
      <w:numFmt w:val="bullet"/>
      <w:isLgl w:val="false"/>
      <w:suff w:val="tab"/>
      <w:lvlText w:val=""/>
      <w:lvlJc w:val="left"/>
      <w:pPr>
        <w:ind w:left="4860" w:hanging="360"/>
      </w:pPr>
      <w:rPr>
        <w:rFonts w:hint="default" w:ascii="Wingdings" w:hAnsi="Wingdings"/>
      </w:rPr>
    </w:lvl>
    <w:lvl w:ilvl="6">
      <w:start w:val="1"/>
      <w:numFmt w:val="bullet"/>
      <w:isLgl w:val="false"/>
      <w:suff w:val="tab"/>
      <w:lvlText w:val=""/>
      <w:lvlJc w:val="left"/>
      <w:pPr>
        <w:ind w:left="5580" w:hanging="360"/>
      </w:pPr>
      <w:rPr>
        <w:rFonts w:hint="default" w:ascii="Symbol" w:hAnsi="Symbol"/>
      </w:rPr>
    </w:lvl>
    <w:lvl w:ilvl="7">
      <w:start w:val="1"/>
      <w:numFmt w:val="bullet"/>
      <w:isLgl w:val="false"/>
      <w:suff w:val="tab"/>
      <w:lvlText w:val="o"/>
      <w:lvlJc w:val="left"/>
      <w:pPr>
        <w:ind w:left="6300" w:hanging="360"/>
      </w:pPr>
      <w:rPr>
        <w:rFonts w:hint="default" w:ascii="Courier New" w:hAnsi="Courier New" w:cs="Courier New"/>
      </w:rPr>
    </w:lvl>
    <w:lvl w:ilvl="8">
      <w:start w:val="1"/>
      <w:numFmt w:val="bullet"/>
      <w:isLgl w:val="false"/>
      <w:suff w:val="tab"/>
      <w:lvlText w:val=""/>
      <w:lvlJc w:val="left"/>
      <w:pPr>
        <w:ind w:left="7020" w:hanging="360"/>
      </w:pPr>
      <w:rPr>
        <w:rFonts w:hint="default" w:ascii="Wingdings" w:hAnsi="Wingdings"/>
      </w:rPr>
    </w:lvl>
  </w:abstractNum>
  <w:abstractNum w:abstractNumId="29">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30">
    <w:multiLevelType w:val="hybridMultilevel"/>
    <w:lvl w:ilvl="0">
      <w:start w:val="1"/>
      <w:numFmt w:val="decimal"/>
      <w:isLgl w:val="false"/>
      <w:suff w:val="tab"/>
      <w:lvlText w:val="%1."/>
      <w:lvlJc w:val="left"/>
      <w:pPr>
        <w:ind w:left="1069" w:hanging="360"/>
      </w:pPr>
      <w:rPr>
        <w:rFonts w:hint="default" w:eastAsia="Times New Roman"/>
        <w:color w:val="000000"/>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31">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32">
    <w:multiLevelType w:val="hybridMultilevel"/>
    <w:lvl w:ilvl="0">
      <w:start w:val="1"/>
      <w:numFmt w:val="bullet"/>
      <w:isLgl w:val="false"/>
      <w:suff w:val="tab"/>
      <w:lvlText w:val=""/>
      <w:lvlJc w:val="left"/>
      <w:pPr>
        <w:ind w:left="720" w:hanging="360"/>
        <w:tabs>
          <w:tab w:val="num" w:pos="720" w:leader="none"/>
        </w:tabs>
      </w:pPr>
      <w:rPr>
        <w:rFonts w:hint="default" w:ascii="Symbol" w:hAnsi="Symbol"/>
        <w:sz w:val="20"/>
      </w:rPr>
    </w:lvl>
    <w:lvl w:ilvl="1">
      <w:start w:val="1"/>
      <w:numFmt w:val="bullet"/>
      <w:isLgl w:val="false"/>
      <w:suff w:val="tab"/>
      <w:lvlText w:val="o"/>
      <w:lvlJc w:val="left"/>
      <w:pPr>
        <w:ind w:left="1440" w:hanging="360"/>
        <w:tabs>
          <w:tab w:val="num" w:pos="1440" w:leader="none"/>
        </w:tabs>
      </w:pPr>
      <w:rPr>
        <w:rFonts w:hint="default" w:ascii="Courier New" w:hAnsi="Courier New"/>
        <w:sz w:val="20"/>
      </w:rPr>
    </w:lvl>
    <w:lvl w:ilvl="2">
      <w:start w:val="1"/>
      <w:numFmt w:val="bullet"/>
      <w:isLgl w:val="false"/>
      <w:suff w:val="tab"/>
      <w:lvlText w:val=""/>
      <w:lvlJc w:val="left"/>
      <w:pPr>
        <w:ind w:left="2160" w:hanging="360"/>
        <w:tabs>
          <w:tab w:val="num" w:pos="2160" w:leader="none"/>
        </w:tabs>
      </w:pPr>
      <w:rPr>
        <w:rFonts w:hint="default" w:ascii="Wingdings" w:hAnsi="Wingdings"/>
        <w:sz w:val="20"/>
      </w:rPr>
    </w:lvl>
    <w:lvl w:ilvl="3">
      <w:start w:val="1"/>
      <w:numFmt w:val="bullet"/>
      <w:isLgl w:val="false"/>
      <w:suff w:val="tab"/>
      <w:lvlText w:val=""/>
      <w:lvlJc w:val="left"/>
      <w:pPr>
        <w:ind w:left="2880" w:hanging="360"/>
        <w:tabs>
          <w:tab w:val="num" w:pos="2880" w:leader="none"/>
        </w:tabs>
      </w:pPr>
      <w:rPr>
        <w:rFonts w:hint="default" w:ascii="Wingdings" w:hAnsi="Wingdings"/>
        <w:sz w:val="20"/>
      </w:rPr>
    </w:lvl>
    <w:lvl w:ilvl="4">
      <w:start w:val="1"/>
      <w:numFmt w:val="bullet"/>
      <w:isLgl w:val="false"/>
      <w:suff w:val="tab"/>
      <w:lvlText w:val=""/>
      <w:lvlJc w:val="left"/>
      <w:pPr>
        <w:ind w:left="3600" w:hanging="360"/>
        <w:tabs>
          <w:tab w:val="num" w:pos="3600" w:leader="none"/>
        </w:tabs>
      </w:pPr>
      <w:rPr>
        <w:rFonts w:hint="default" w:ascii="Wingdings" w:hAnsi="Wingdings"/>
        <w:sz w:val="20"/>
      </w:rPr>
    </w:lvl>
    <w:lvl w:ilvl="5">
      <w:start w:val="1"/>
      <w:numFmt w:val="bullet"/>
      <w:isLgl w:val="false"/>
      <w:suff w:val="tab"/>
      <w:lvlText w:val=""/>
      <w:lvlJc w:val="left"/>
      <w:pPr>
        <w:ind w:left="4320" w:hanging="360"/>
        <w:tabs>
          <w:tab w:val="num" w:pos="4320" w:leader="none"/>
        </w:tabs>
      </w:pPr>
      <w:rPr>
        <w:rFonts w:hint="default" w:ascii="Wingdings" w:hAnsi="Wingdings"/>
        <w:sz w:val="20"/>
      </w:rPr>
    </w:lvl>
    <w:lvl w:ilvl="6">
      <w:start w:val="1"/>
      <w:numFmt w:val="bullet"/>
      <w:isLgl w:val="false"/>
      <w:suff w:val="tab"/>
      <w:lvlText w:val=""/>
      <w:lvlJc w:val="left"/>
      <w:pPr>
        <w:ind w:left="5040" w:hanging="360"/>
        <w:tabs>
          <w:tab w:val="num" w:pos="5040" w:leader="none"/>
        </w:tabs>
      </w:pPr>
      <w:rPr>
        <w:rFonts w:hint="default" w:ascii="Wingdings" w:hAnsi="Wingdings"/>
        <w:sz w:val="20"/>
      </w:rPr>
    </w:lvl>
    <w:lvl w:ilvl="7">
      <w:start w:val="1"/>
      <w:numFmt w:val="bullet"/>
      <w:isLgl w:val="false"/>
      <w:suff w:val="tab"/>
      <w:lvlText w:val=""/>
      <w:lvlJc w:val="left"/>
      <w:pPr>
        <w:ind w:left="5760" w:hanging="360"/>
        <w:tabs>
          <w:tab w:val="num" w:pos="5760" w:leader="none"/>
        </w:tabs>
      </w:pPr>
      <w:rPr>
        <w:rFonts w:hint="default" w:ascii="Wingdings" w:hAnsi="Wingdings"/>
        <w:sz w:val="20"/>
      </w:rPr>
    </w:lvl>
    <w:lvl w:ilvl="8">
      <w:start w:val="1"/>
      <w:numFmt w:val="bullet"/>
      <w:isLgl w:val="false"/>
      <w:suff w:val="tab"/>
      <w:lvlText w:val=""/>
      <w:lvlJc w:val="left"/>
      <w:pPr>
        <w:ind w:left="6480" w:hanging="360"/>
        <w:tabs>
          <w:tab w:val="num" w:pos="6480" w:leader="none"/>
        </w:tabs>
      </w:pPr>
      <w:rPr>
        <w:rFonts w:hint="default" w:ascii="Wingdings" w:hAnsi="Wingdings"/>
        <w:sz w:val="20"/>
      </w:rPr>
    </w:lvl>
  </w:abstractNum>
  <w:abstractNum w:abstractNumId="33">
    <w:multiLevelType w:val="hybridMultilevel"/>
    <w:lvl w:ilvl="0">
      <w:start w:val="1"/>
      <w:numFmt w:val="decimal"/>
      <w:isLgl w:val="false"/>
      <w:suff w:val="tab"/>
      <w:lvlText w:val="%1."/>
      <w:lvlJc w:val="left"/>
      <w:pPr>
        <w:ind w:left="1069" w:hanging="360"/>
      </w:pPr>
      <w:rPr>
        <w:rFonts w:hint="default"/>
        <w:b/>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34">
    <w:multiLevelType w:val="hybridMultilevel"/>
    <w:lvl w:ilvl="0">
      <w:start w:val="1"/>
      <w:numFmt w:val="decimal"/>
      <w:isLgl w:val="false"/>
      <w:suff w:val="tab"/>
      <w:lvlText w:val="%1."/>
      <w:lvlJc w:val="left"/>
      <w:pPr>
        <w:ind w:left="1069" w:hanging="360"/>
      </w:pPr>
      <w:rPr>
        <w:rFonts w:hint="default"/>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35">
    <w:multiLevelType w:val="hybridMultilevel"/>
    <w:lvl w:ilvl="0">
      <w:start w:val="1"/>
      <w:numFmt w:val="decimal"/>
      <w:isLgl w:val="false"/>
      <w:suff w:val="tab"/>
      <w:lvlText w:val="%1."/>
      <w:lvlJc w:val="left"/>
      <w:pPr>
        <w:ind w:left="1068" w:hanging="360"/>
      </w:pPr>
      <w:rPr>
        <w:rFonts w:hint="default"/>
        <w:color w:val="000000"/>
      </w:rPr>
    </w:lvl>
    <w:lvl w:ilvl="1">
      <w:start w:val="1"/>
      <w:numFmt w:val="lowerLetter"/>
      <w:isLgl w:val="false"/>
      <w:suff w:val="tab"/>
      <w:lvlText w:val="%2."/>
      <w:lvlJc w:val="left"/>
      <w:pPr>
        <w:ind w:left="1788" w:hanging="360"/>
      </w:pPr>
    </w:lvl>
    <w:lvl w:ilvl="2">
      <w:start w:val="1"/>
      <w:numFmt w:val="lowerRoman"/>
      <w:isLgl w:val="false"/>
      <w:suff w:val="tab"/>
      <w:lvlText w:val="%3."/>
      <w:lvlJc w:val="right"/>
      <w:pPr>
        <w:ind w:left="2508" w:hanging="180"/>
      </w:pPr>
    </w:lvl>
    <w:lvl w:ilvl="3">
      <w:start w:val="1"/>
      <w:numFmt w:val="decimal"/>
      <w:isLgl w:val="false"/>
      <w:suff w:val="tab"/>
      <w:lvlText w:val="%4."/>
      <w:lvlJc w:val="left"/>
      <w:pPr>
        <w:ind w:left="3228" w:hanging="360"/>
      </w:pPr>
    </w:lvl>
    <w:lvl w:ilvl="4">
      <w:start w:val="1"/>
      <w:numFmt w:val="lowerLetter"/>
      <w:isLgl w:val="false"/>
      <w:suff w:val="tab"/>
      <w:lvlText w:val="%5."/>
      <w:lvlJc w:val="left"/>
      <w:pPr>
        <w:ind w:left="3948" w:hanging="360"/>
      </w:pPr>
    </w:lvl>
    <w:lvl w:ilvl="5">
      <w:start w:val="1"/>
      <w:numFmt w:val="lowerRoman"/>
      <w:isLgl w:val="false"/>
      <w:suff w:val="tab"/>
      <w:lvlText w:val="%6."/>
      <w:lvlJc w:val="right"/>
      <w:pPr>
        <w:ind w:left="4668" w:hanging="180"/>
      </w:pPr>
    </w:lvl>
    <w:lvl w:ilvl="6">
      <w:start w:val="1"/>
      <w:numFmt w:val="decimal"/>
      <w:isLgl w:val="false"/>
      <w:suff w:val="tab"/>
      <w:lvlText w:val="%7."/>
      <w:lvlJc w:val="left"/>
      <w:pPr>
        <w:ind w:left="5388" w:hanging="360"/>
      </w:pPr>
    </w:lvl>
    <w:lvl w:ilvl="7">
      <w:start w:val="1"/>
      <w:numFmt w:val="lowerLetter"/>
      <w:isLgl w:val="false"/>
      <w:suff w:val="tab"/>
      <w:lvlText w:val="%8."/>
      <w:lvlJc w:val="left"/>
      <w:pPr>
        <w:ind w:left="6108" w:hanging="360"/>
      </w:pPr>
    </w:lvl>
    <w:lvl w:ilvl="8">
      <w:start w:val="1"/>
      <w:numFmt w:val="lowerRoman"/>
      <w:isLgl w:val="false"/>
      <w:suff w:val="tab"/>
      <w:lvlText w:val="%9."/>
      <w:lvlJc w:val="right"/>
      <w:pPr>
        <w:ind w:left="6828" w:hanging="180"/>
      </w:pPr>
    </w:lvl>
  </w:abstractNum>
  <w:abstractNum w:abstractNumId="36">
    <w:multiLevelType w:val="hybridMultilevel"/>
    <w:lvl w:ilvl="0">
      <w:start w:val="1"/>
      <w:numFmt w:val="decimal"/>
      <w:isLgl w:val="false"/>
      <w:suff w:val="tab"/>
      <w:lvlText w:val="%1."/>
      <w:lvlJc w:val="left"/>
      <w:pPr>
        <w:ind w:left="1779"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37">
    <w:multiLevelType w:val="hybridMultilevel"/>
    <w:lvl w:ilvl="0">
      <w:start w:val="1"/>
      <w:numFmt w:val="decimal"/>
      <w:isLgl w:val="false"/>
      <w:suff w:val="tab"/>
      <w:lvlText w:val="%1."/>
      <w:lvlJc w:val="left"/>
      <w:pPr>
        <w:ind w:left="1144" w:hanging="435"/>
      </w:pPr>
      <w:rPr>
        <w:color w:val="000000"/>
      </w:rPr>
    </w:lvl>
    <w:lvl w:ilvl="1">
      <w:start w:val="1"/>
      <w:numFmt w:val="lowerLetter"/>
      <w:isLgl w:val="false"/>
      <w:suff w:val="tab"/>
      <w:lvlText w:val="%2."/>
      <w:lvlJc w:val="left"/>
      <w:pPr>
        <w:ind w:left="1789" w:hanging="360"/>
      </w:pPr>
    </w:lvl>
    <w:lvl w:ilvl="2">
      <w:start w:val="1"/>
      <w:numFmt w:val="lowerRoman"/>
      <w:isLgl w:val="false"/>
      <w:suff w:val="tab"/>
      <w:lvlText w:val="%3."/>
      <w:lvlJc w:val="right"/>
      <w:pPr>
        <w:ind w:left="2509" w:hanging="180"/>
      </w:pPr>
    </w:lvl>
    <w:lvl w:ilvl="3">
      <w:start w:val="1"/>
      <w:numFmt w:val="decimal"/>
      <w:isLgl w:val="false"/>
      <w:suff w:val="tab"/>
      <w:lvlText w:val="%4."/>
      <w:lvlJc w:val="left"/>
      <w:pPr>
        <w:ind w:left="3229" w:hanging="360"/>
      </w:pPr>
    </w:lvl>
    <w:lvl w:ilvl="4">
      <w:start w:val="1"/>
      <w:numFmt w:val="lowerLetter"/>
      <w:isLgl w:val="false"/>
      <w:suff w:val="tab"/>
      <w:lvlText w:val="%5."/>
      <w:lvlJc w:val="left"/>
      <w:pPr>
        <w:ind w:left="3949" w:hanging="360"/>
      </w:pPr>
    </w:lvl>
    <w:lvl w:ilvl="5">
      <w:start w:val="1"/>
      <w:numFmt w:val="lowerRoman"/>
      <w:isLgl w:val="false"/>
      <w:suff w:val="tab"/>
      <w:lvlText w:val="%6."/>
      <w:lvlJc w:val="right"/>
      <w:pPr>
        <w:ind w:left="4669" w:hanging="180"/>
      </w:pPr>
    </w:lvl>
    <w:lvl w:ilvl="6">
      <w:start w:val="1"/>
      <w:numFmt w:val="decimal"/>
      <w:isLgl w:val="false"/>
      <w:suff w:val="tab"/>
      <w:lvlText w:val="%7."/>
      <w:lvlJc w:val="left"/>
      <w:pPr>
        <w:ind w:left="5389" w:hanging="360"/>
      </w:pPr>
    </w:lvl>
    <w:lvl w:ilvl="7">
      <w:start w:val="1"/>
      <w:numFmt w:val="lowerLetter"/>
      <w:isLgl w:val="false"/>
      <w:suff w:val="tab"/>
      <w:lvlText w:val="%8."/>
      <w:lvlJc w:val="left"/>
      <w:pPr>
        <w:ind w:left="6109" w:hanging="360"/>
      </w:pPr>
    </w:lvl>
    <w:lvl w:ilvl="8">
      <w:start w:val="1"/>
      <w:numFmt w:val="lowerRoman"/>
      <w:isLgl w:val="false"/>
      <w:suff w:val="tab"/>
      <w:lvlText w:val="%9."/>
      <w:lvlJc w:val="right"/>
      <w:pPr>
        <w:ind w:left="6829" w:hanging="180"/>
      </w:pPr>
    </w:lvl>
  </w:abstractNum>
  <w:abstractNum w:abstractNumId="38">
    <w:multiLevelType w:val="hybridMultilevel"/>
    <w:lvl w:ilvl="0">
      <w:start w:val="1"/>
      <w:numFmt w:val="decimal"/>
      <w:isLgl w:val="false"/>
      <w:suff w:val="tab"/>
      <w:lvlText w:val="%1."/>
      <w:lvlJc w:val="left"/>
      <w:pPr>
        <w:ind w:left="615" w:hanging="615"/>
      </w:pPr>
    </w:lvl>
    <w:lvl w:ilvl="1">
      <w:start w:val="1"/>
      <w:numFmt w:val="decimal"/>
      <w:isLgl w:val="false"/>
      <w:suff w:val="tab"/>
      <w:lvlText w:val="%2."/>
      <w:lvlJc w:val="left"/>
      <w:pPr>
        <w:ind w:left="1951" w:hanging="720"/>
      </w:pPr>
      <w:rPr>
        <w:rFonts w:ascii="Times New Roman" w:hAnsi="Times New Roman" w:eastAsia="Calibri" w:cs="Times New Roman"/>
      </w:rPr>
    </w:lvl>
    <w:lvl w:ilvl="2">
      <w:start w:val="1"/>
      <w:numFmt w:val="decimal"/>
      <w:isLgl w:val="false"/>
      <w:suff w:val="tab"/>
      <w:lvlText w:val="%1.%2.%3."/>
      <w:lvlJc w:val="left"/>
      <w:pPr>
        <w:ind w:left="3182" w:hanging="720"/>
      </w:pPr>
    </w:lvl>
    <w:lvl w:ilvl="3">
      <w:start w:val="1"/>
      <w:numFmt w:val="decimal"/>
      <w:isLgl w:val="false"/>
      <w:suff w:val="tab"/>
      <w:lvlText w:val="%1.%2.%3.%4."/>
      <w:lvlJc w:val="left"/>
      <w:pPr>
        <w:ind w:left="4773" w:hanging="1080"/>
      </w:pPr>
    </w:lvl>
    <w:lvl w:ilvl="4">
      <w:start w:val="1"/>
      <w:numFmt w:val="decimal"/>
      <w:isLgl w:val="false"/>
      <w:suff w:val="tab"/>
      <w:lvlText w:val="%1.%2.%3.%4.%5."/>
      <w:lvlJc w:val="left"/>
      <w:pPr>
        <w:ind w:left="6004" w:hanging="1080"/>
      </w:pPr>
    </w:lvl>
    <w:lvl w:ilvl="5">
      <w:start w:val="1"/>
      <w:numFmt w:val="decimal"/>
      <w:isLgl w:val="false"/>
      <w:suff w:val="tab"/>
      <w:lvlText w:val="%1.%2.%3.%4.%5.%6."/>
      <w:lvlJc w:val="left"/>
      <w:pPr>
        <w:ind w:left="7595" w:hanging="1440"/>
      </w:pPr>
    </w:lvl>
    <w:lvl w:ilvl="6">
      <w:start w:val="1"/>
      <w:numFmt w:val="decimal"/>
      <w:isLgl w:val="false"/>
      <w:suff w:val="tab"/>
      <w:lvlText w:val="%1.%2.%3.%4.%5.%6.%7."/>
      <w:lvlJc w:val="left"/>
      <w:pPr>
        <w:ind w:left="9186" w:hanging="1800"/>
      </w:pPr>
    </w:lvl>
    <w:lvl w:ilvl="7">
      <w:start w:val="1"/>
      <w:numFmt w:val="decimal"/>
      <w:isLgl w:val="false"/>
      <w:suff w:val="tab"/>
      <w:lvlText w:val="%1.%2.%3.%4.%5.%6.%7.%8."/>
      <w:lvlJc w:val="left"/>
      <w:pPr>
        <w:ind w:left="10417" w:hanging="1800"/>
      </w:pPr>
    </w:lvl>
    <w:lvl w:ilvl="8">
      <w:start w:val="1"/>
      <w:numFmt w:val="decimal"/>
      <w:isLgl w:val="false"/>
      <w:suff w:val="tab"/>
      <w:lvlText w:val="%1.%2.%3.%4.%5.%6.%7.%8.%9."/>
      <w:lvlJc w:val="left"/>
      <w:pPr>
        <w:ind w:left="12008" w:hanging="2160"/>
      </w:pPr>
    </w:lvl>
  </w:abstractNum>
  <w:abstractNum w:abstractNumId="39">
    <w:multiLevelType w:val="hybridMultilevel"/>
    <w:lvl w:ilvl="0">
      <w:start w:val="1"/>
      <w:numFmt w:val="decimal"/>
      <w:isLgl w:val="false"/>
      <w:suff w:val="tab"/>
      <w:lvlText w:val="%1)"/>
      <w:lvlJc w:val="left"/>
      <w:pPr>
        <w:ind w:left="1637" w:hanging="360"/>
      </w:pPr>
    </w:lvl>
    <w:lvl w:ilvl="1">
      <w:start w:val="1"/>
      <w:numFmt w:val="lowerLetter"/>
      <w:isLgl w:val="false"/>
      <w:suff w:val="tab"/>
      <w:lvlText w:val="%2."/>
      <w:lvlJc w:val="left"/>
      <w:pPr>
        <w:ind w:left="2149" w:hanging="360"/>
      </w:pPr>
    </w:lvl>
    <w:lvl w:ilvl="2">
      <w:start w:val="1"/>
      <w:numFmt w:val="lowerRoman"/>
      <w:isLgl w:val="false"/>
      <w:suff w:val="tab"/>
      <w:lvlText w:val="%3."/>
      <w:lvlJc w:val="right"/>
      <w:pPr>
        <w:ind w:left="2869" w:hanging="180"/>
      </w:pPr>
    </w:lvl>
    <w:lvl w:ilvl="3">
      <w:start w:val="1"/>
      <w:numFmt w:val="decimal"/>
      <w:isLgl w:val="false"/>
      <w:suff w:val="tab"/>
      <w:lvlText w:val="%4."/>
      <w:lvlJc w:val="left"/>
      <w:pPr>
        <w:ind w:left="3589" w:hanging="360"/>
      </w:pPr>
    </w:lvl>
    <w:lvl w:ilvl="4">
      <w:start w:val="1"/>
      <w:numFmt w:val="lowerLetter"/>
      <w:isLgl w:val="false"/>
      <w:suff w:val="tab"/>
      <w:lvlText w:val="%5."/>
      <w:lvlJc w:val="left"/>
      <w:pPr>
        <w:ind w:left="4309" w:hanging="360"/>
      </w:pPr>
    </w:lvl>
    <w:lvl w:ilvl="5">
      <w:start w:val="1"/>
      <w:numFmt w:val="lowerRoman"/>
      <w:isLgl w:val="false"/>
      <w:suff w:val="tab"/>
      <w:lvlText w:val="%6."/>
      <w:lvlJc w:val="right"/>
      <w:pPr>
        <w:ind w:left="5029" w:hanging="180"/>
      </w:pPr>
    </w:lvl>
    <w:lvl w:ilvl="6">
      <w:start w:val="1"/>
      <w:numFmt w:val="decimal"/>
      <w:isLgl w:val="false"/>
      <w:suff w:val="tab"/>
      <w:lvlText w:val="%7."/>
      <w:lvlJc w:val="left"/>
      <w:pPr>
        <w:ind w:left="5749" w:hanging="360"/>
      </w:pPr>
    </w:lvl>
    <w:lvl w:ilvl="7">
      <w:start w:val="1"/>
      <w:numFmt w:val="lowerLetter"/>
      <w:isLgl w:val="false"/>
      <w:suff w:val="tab"/>
      <w:lvlText w:val="%8."/>
      <w:lvlJc w:val="left"/>
      <w:pPr>
        <w:ind w:left="6469" w:hanging="360"/>
      </w:pPr>
    </w:lvl>
    <w:lvl w:ilvl="8">
      <w:start w:val="1"/>
      <w:numFmt w:val="lowerRoman"/>
      <w:isLgl w:val="false"/>
      <w:suff w:val="tab"/>
      <w:lvlText w:val="%9."/>
      <w:lvlJc w:val="right"/>
      <w:pPr>
        <w:ind w:left="7189" w:hanging="180"/>
      </w:pPr>
    </w:lvl>
  </w:abstractNum>
  <w:abstractNum w:abstractNumId="40">
    <w:multiLevelType w:val="hybridMultilevel"/>
    <w:lvl w:ilvl="0">
      <w:start w:val="1"/>
      <w:numFmt w:val="decimal"/>
      <w:isLgl w:val="false"/>
      <w:suff w:val="tab"/>
      <w:lvlText w:val="%1."/>
      <w:lvlJc w:val="left"/>
      <w:pPr>
        <w:ind w:left="720" w:hanging="360"/>
      </w:p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41">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2">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3">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4">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5">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6">
    <w:multiLevelType w:val="hybridMultilevel"/>
    <w:lvl w:ilvl="0">
      <w:start w:val="1"/>
      <w:numFmt w:val="bullet"/>
      <w:isLgl w:val="false"/>
      <w:suff w:val="tab"/>
      <w:lvlText w:val=""/>
      <w:lvlJc w:val="left"/>
      <w:pPr>
        <w:ind w:left="720" w:hanging="360"/>
        <w:tabs>
          <w:tab w:val="num" w:pos="720" w:leader="none"/>
        </w:tabs>
      </w:pPr>
      <w:rPr>
        <w:rFonts w:hint="default" w:ascii="Wingdings" w:hAnsi="Wingdings"/>
      </w:rPr>
    </w:lvl>
    <w:lvl w:ilvl="1">
      <w:start w:val="1"/>
      <w:numFmt w:val="bullet"/>
      <w:isLgl w:val="false"/>
      <w:suff w:val="tab"/>
      <w:lvlText w:val=""/>
      <w:lvlJc w:val="left"/>
      <w:pPr>
        <w:ind w:left="1440" w:hanging="360"/>
        <w:tabs>
          <w:tab w:val="num" w:pos="1440" w:leader="none"/>
        </w:tabs>
      </w:pPr>
      <w:rPr>
        <w:rFonts w:hint="default" w:ascii="Wingdings" w:hAnsi="Wingdings"/>
      </w:rPr>
    </w:lvl>
    <w:lvl w:ilvl="2">
      <w:start w:val="1"/>
      <w:numFmt w:val="bullet"/>
      <w:isLgl w:val="false"/>
      <w:suff w:val="tab"/>
      <w:lvlText w:val=""/>
      <w:lvlJc w:val="left"/>
      <w:pPr>
        <w:ind w:left="2160" w:hanging="360"/>
        <w:tabs>
          <w:tab w:val="num" w:pos="2160" w:leader="none"/>
        </w:tabs>
      </w:pPr>
      <w:rPr>
        <w:rFonts w:hint="default" w:ascii="Wingdings" w:hAnsi="Wingdings"/>
      </w:rPr>
    </w:lvl>
    <w:lvl w:ilvl="3">
      <w:start w:val="1"/>
      <w:numFmt w:val="bullet"/>
      <w:isLgl w:val="false"/>
      <w:suff w:val="tab"/>
      <w:lvlText w:val=""/>
      <w:lvlJc w:val="left"/>
      <w:pPr>
        <w:ind w:left="2880" w:hanging="360"/>
        <w:tabs>
          <w:tab w:val="num" w:pos="2880" w:leader="none"/>
        </w:tabs>
      </w:pPr>
      <w:rPr>
        <w:rFonts w:hint="default" w:ascii="Wingdings" w:hAnsi="Wingdings"/>
      </w:rPr>
    </w:lvl>
    <w:lvl w:ilvl="4">
      <w:start w:val="1"/>
      <w:numFmt w:val="bullet"/>
      <w:isLgl w:val="false"/>
      <w:suff w:val="tab"/>
      <w:lvlText w:val=""/>
      <w:lvlJc w:val="left"/>
      <w:pPr>
        <w:ind w:left="3600" w:hanging="360"/>
        <w:tabs>
          <w:tab w:val="num" w:pos="3600" w:leader="none"/>
        </w:tabs>
      </w:pPr>
      <w:rPr>
        <w:rFonts w:hint="default" w:ascii="Wingdings" w:hAnsi="Wingdings"/>
      </w:rPr>
    </w:lvl>
    <w:lvl w:ilvl="5">
      <w:start w:val="1"/>
      <w:numFmt w:val="bullet"/>
      <w:isLgl w:val="false"/>
      <w:suff w:val="tab"/>
      <w:lvlText w:val=""/>
      <w:lvlJc w:val="left"/>
      <w:pPr>
        <w:ind w:left="4320" w:hanging="360"/>
        <w:tabs>
          <w:tab w:val="num" w:pos="4320" w:leader="none"/>
        </w:tabs>
      </w:pPr>
      <w:rPr>
        <w:rFonts w:hint="default" w:ascii="Wingdings" w:hAnsi="Wingdings"/>
      </w:rPr>
    </w:lvl>
    <w:lvl w:ilvl="6">
      <w:start w:val="1"/>
      <w:numFmt w:val="bullet"/>
      <w:isLgl w:val="false"/>
      <w:suff w:val="tab"/>
      <w:lvlText w:val=""/>
      <w:lvlJc w:val="left"/>
      <w:pPr>
        <w:ind w:left="5040" w:hanging="360"/>
        <w:tabs>
          <w:tab w:val="num" w:pos="5040" w:leader="none"/>
        </w:tabs>
      </w:pPr>
      <w:rPr>
        <w:rFonts w:hint="default" w:ascii="Wingdings" w:hAnsi="Wingdings"/>
      </w:rPr>
    </w:lvl>
    <w:lvl w:ilvl="7">
      <w:start w:val="1"/>
      <w:numFmt w:val="bullet"/>
      <w:isLgl w:val="false"/>
      <w:suff w:val="tab"/>
      <w:lvlText w:val=""/>
      <w:lvlJc w:val="left"/>
      <w:pPr>
        <w:ind w:left="5760" w:hanging="360"/>
        <w:tabs>
          <w:tab w:val="num" w:pos="5760" w:leader="none"/>
        </w:tabs>
      </w:pPr>
      <w:rPr>
        <w:rFonts w:hint="default" w:ascii="Wingdings" w:hAnsi="Wingdings"/>
      </w:rPr>
    </w:lvl>
    <w:lvl w:ilvl="8">
      <w:start w:val="1"/>
      <w:numFmt w:val="bullet"/>
      <w:isLgl w:val="false"/>
      <w:suff w:val="tab"/>
      <w:lvlText w:val=""/>
      <w:lvlJc w:val="left"/>
      <w:pPr>
        <w:ind w:left="6480" w:hanging="360"/>
        <w:tabs>
          <w:tab w:val="num" w:pos="6480" w:leader="none"/>
        </w:tabs>
      </w:pPr>
      <w:rPr>
        <w:rFonts w:hint="default" w:ascii="Wingdings" w:hAnsi="Wingdings"/>
      </w:rPr>
    </w:lvl>
  </w:abstractNum>
  <w:abstractNum w:abstractNumId="47">
    <w:multiLevelType w:val="hybridMultilevel"/>
    <w:lvl w:ilvl="0">
      <w:start w:val="1"/>
      <w:numFmt w:val="bullet"/>
      <w:isLgl w:val="false"/>
      <w:suff w:val="tab"/>
      <w:lvlText w:val=""/>
      <w:lvlJc w:val="left"/>
      <w:pPr>
        <w:ind w:left="720" w:hanging="360"/>
        <w:tabs>
          <w:tab w:val="num" w:pos="720" w:leader="none"/>
        </w:tabs>
      </w:pPr>
      <w:rPr>
        <w:rFonts w:hint="default" w:ascii="Wingdings" w:hAnsi="Wingdings"/>
      </w:rPr>
    </w:lvl>
    <w:lvl w:ilvl="1">
      <w:start w:val="1"/>
      <w:numFmt w:val="bullet"/>
      <w:isLgl w:val="false"/>
      <w:suff w:val="tab"/>
      <w:lvlText w:val=""/>
      <w:lvlJc w:val="left"/>
      <w:pPr>
        <w:ind w:left="1440" w:hanging="360"/>
        <w:tabs>
          <w:tab w:val="num" w:pos="1440" w:leader="none"/>
        </w:tabs>
      </w:pPr>
      <w:rPr>
        <w:rFonts w:hint="default" w:ascii="Wingdings" w:hAnsi="Wingdings"/>
      </w:rPr>
    </w:lvl>
    <w:lvl w:ilvl="2">
      <w:start w:val="1"/>
      <w:numFmt w:val="bullet"/>
      <w:isLgl w:val="false"/>
      <w:suff w:val="tab"/>
      <w:lvlText w:val=""/>
      <w:lvlJc w:val="left"/>
      <w:pPr>
        <w:ind w:left="2160" w:hanging="360"/>
        <w:tabs>
          <w:tab w:val="num" w:pos="2160" w:leader="none"/>
        </w:tabs>
      </w:pPr>
      <w:rPr>
        <w:rFonts w:hint="default" w:ascii="Wingdings" w:hAnsi="Wingdings"/>
      </w:rPr>
    </w:lvl>
    <w:lvl w:ilvl="3">
      <w:start w:val="1"/>
      <w:numFmt w:val="bullet"/>
      <w:isLgl w:val="false"/>
      <w:suff w:val="tab"/>
      <w:lvlText w:val=""/>
      <w:lvlJc w:val="left"/>
      <w:pPr>
        <w:ind w:left="2880" w:hanging="360"/>
        <w:tabs>
          <w:tab w:val="num" w:pos="2880" w:leader="none"/>
        </w:tabs>
      </w:pPr>
      <w:rPr>
        <w:rFonts w:hint="default" w:ascii="Wingdings" w:hAnsi="Wingdings"/>
      </w:rPr>
    </w:lvl>
    <w:lvl w:ilvl="4">
      <w:start w:val="1"/>
      <w:numFmt w:val="bullet"/>
      <w:isLgl w:val="false"/>
      <w:suff w:val="tab"/>
      <w:lvlText w:val=""/>
      <w:lvlJc w:val="left"/>
      <w:pPr>
        <w:ind w:left="3600" w:hanging="360"/>
        <w:tabs>
          <w:tab w:val="num" w:pos="3600" w:leader="none"/>
        </w:tabs>
      </w:pPr>
      <w:rPr>
        <w:rFonts w:hint="default" w:ascii="Wingdings" w:hAnsi="Wingdings"/>
      </w:rPr>
    </w:lvl>
    <w:lvl w:ilvl="5">
      <w:start w:val="1"/>
      <w:numFmt w:val="bullet"/>
      <w:isLgl w:val="false"/>
      <w:suff w:val="tab"/>
      <w:lvlText w:val=""/>
      <w:lvlJc w:val="left"/>
      <w:pPr>
        <w:ind w:left="4320" w:hanging="360"/>
        <w:tabs>
          <w:tab w:val="num" w:pos="4320" w:leader="none"/>
        </w:tabs>
      </w:pPr>
      <w:rPr>
        <w:rFonts w:hint="default" w:ascii="Wingdings" w:hAnsi="Wingdings"/>
      </w:rPr>
    </w:lvl>
    <w:lvl w:ilvl="6">
      <w:start w:val="1"/>
      <w:numFmt w:val="bullet"/>
      <w:isLgl w:val="false"/>
      <w:suff w:val="tab"/>
      <w:lvlText w:val=""/>
      <w:lvlJc w:val="left"/>
      <w:pPr>
        <w:ind w:left="5040" w:hanging="360"/>
        <w:tabs>
          <w:tab w:val="num" w:pos="5040" w:leader="none"/>
        </w:tabs>
      </w:pPr>
      <w:rPr>
        <w:rFonts w:hint="default" w:ascii="Wingdings" w:hAnsi="Wingdings"/>
      </w:rPr>
    </w:lvl>
    <w:lvl w:ilvl="7">
      <w:start w:val="1"/>
      <w:numFmt w:val="bullet"/>
      <w:isLgl w:val="false"/>
      <w:suff w:val="tab"/>
      <w:lvlText w:val=""/>
      <w:lvlJc w:val="left"/>
      <w:pPr>
        <w:ind w:left="5760" w:hanging="360"/>
        <w:tabs>
          <w:tab w:val="num" w:pos="5760" w:leader="none"/>
        </w:tabs>
      </w:pPr>
      <w:rPr>
        <w:rFonts w:hint="default" w:ascii="Wingdings" w:hAnsi="Wingdings"/>
      </w:rPr>
    </w:lvl>
    <w:lvl w:ilvl="8">
      <w:start w:val="1"/>
      <w:numFmt w:val="bullet"/>
      <w:isLgl w:val="false"/>
      <w:suff w:val="tab"/>
      <w:lvlText w:val=""/>
      <w:lvlJc w:val="left"/>
      <w:pPr>
        <w:ind w:left="6480" w:hanging="360"/>
        <w:tabs>
          <w:tab w:val="num" w:pos="6480" w:leader="none"/>
        </w:tabs>
      </w:pPr>
      <w:rPr>
        <w:rFonts w:hint="default" w:ascii="Wingdings" w:hAnsi="Wingdings"/>
      </w:rPr>
    </w:lvl>
  </w:abstractNum>
  <w:abstractNum w:abstractNumId="48">
    <w:multiLevelType w:val="hybridMultilevel"/>
    <w:lvl w:ilvl="0">
      <w:start w:val="1"/>
      <w:numFmt w:val="bullet"/>
      <w:isLgl w:val="false"/>
      <w:suff w:val="tab"/>
      <w:lvlText w:val="·"/>
      <w:lvlJc w:val="left"/>
      <w:pPr>
        <w:ind w:left="720" w:hanging="360"/>
      </w:pPr>
      <w:rPr>
        <w:rFonts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49">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0">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1">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2">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3">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4">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5">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6">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7">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8">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59">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0">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1">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2">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3">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4">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abstractNum w:abstractNumId="65">
    <w:multiLevelType w:val="hybridMultilevel"/>
    <w:lvl w:ilvl="0">
      <w:start w:val="1"/>
      <w:numFmt w:val="bullet"/>
      <w:isLgl w:val="false"/>
      <w:suff w:val="tab"/>
      <w:lvlText w:val="·"/>
      <w:lvlJc w:val="left"/>
      <w:pPr>
        <w:ind w:left="720" w:hanging="360"/>
      </w:pPr>
      <w:rPr>
        <w:rFonts w:hint="default" w:ascii="Symbol" w:hAnsi="Symbol" w:eastAsia="Symbol" w:cs="Symbol"/>
      </w:rPr>
    </w:lvl>
    <w:lvl w:ilvl="1">
      <w:start w:val="1"/>
      <w:numFmt w:val="bullet"/>
      <w:isLgl w:val="false"/>
      <w:suff w:val="tab"/>
      <w:lvlText w:val="o"/>
      <w:lvlJc w:val="left"/>
      <w:pPr>
        <w:ind w:left="1440" w:hanging="360"/>
      </w:pPr>
      <w:rPr>
        <w:rFonts w:hint="default" w:ascii="Courier New" w:hAnsi="Courier New" w:eastAsia="Courier New" w:cs="Courier New"/>
      </w:rPr>
    </w:lvl>
    <w:lvl w:ilvl="2">
      <w:start w:val="1"/>
      <w:numFmt w:val="bullet"/>
      <w:isLgl w:val="false"/>
      <w:suff w:val="tab"/>
      <w:lvlText w:val="§"/>
      <w:lvlJc w:val="left"/>
      <w:pPr>
        <w:ind w:left="2160" w:hanging="360"/>
      </w:pPr>
      <w:rPr>
        <w:rFonts w:hint="default" w:ascii="Wingdings" w:hAnsi="Wingdings" w:eastAsia="Wingdings" w:cs="Wingdings"/>
      </w:rPr>
    </w:lvl>
    <w:lvl w:ilvl="3">
      <w:start w:val="1"/>
      <w:numFmt w:val="bullet"/>
      <w:isLgl w:val="false"/>
      <w:suff w:val="tab"/>
      <w:lvlText w:val="·"/>
      <w:lvlJc w:val="left"/>
      <w:pPr>
        <w:ind w:left="2880" w:hanging="360"/>
      </w:pPr>
      <w:rPr>
        <w:rFonts w:hint="default" w:ascii="Symbol" w:hAnsi="Symbol" w:eastAsia="Symbol" w:cs="Symbol"/>
      </w:rPr>
    </w:lvl>
    <w:lvl w:ilvl="4">
      <w:start w:val="1"/>
      <w:numFmt w:val="bullet"/>
      <w:isLgl w:val="false"/>
      <w:suff w:val="tab"/>
      <w:lvlText w:val="o"/>
      <w:lvlJc w:val="left"/>
      <w:pPr>
        <w:ind w:left="3600" w:hanging="360"/>
      </w:pPr>
      <w:rPr>
        <w:rFonts w:hint="default" w:ascii="Courier New" w:hAnsi="Courier New" w:eastAsia="Courier New" w:cs="Courier New"/>
      </w:rPr>
    </w:lvl>
    <w:lvl w:ilvl="5">
      <w:start w:val="1"/>
      <w:numFmt w:val="bullet"/>
      <w:isLgl w:val="false"/>
      <w:suff w:val="tab"/>
      <w:lvlText w:val="§"/>
      <w:lvlJc w:val="left"/>
      <w:pPr>
        <w:ind w:left="4320" w:hanging="360"/>
      </w:pPr>
      <w:rPr>
        <w:rFonts w:hint="default" w:ascii="Wingdings" w:hAnsi="Wingdings" w:eastAsia="Wingdings" w:cs="Wingdings"/>
      </w:rPr>
    </w:lvl>
    <w:lvl w:ilvl="6">
      <w:start w:val="1"/>
      <w:numFmt w:val="bullet"/>
      <w:isLgl w:val="false"/>
      <w:suff w:val="tab"/>
      <w:lvlText w:val="·"/>
      <w:lvlJc w:val="left"/>
      <w:pPr>
        <w:ind w:left="5040" w:hanging="360"/>
      </w:pPr>
      <w:rPr>
        <w:rFonts w:hint="default" w:ascii="Symbol" w:hAnsi="Symbol" w:eastAsia="Symbol" w:cs="Symbol"/>
      </w:rPr>
    </w:lvl>
    <w:lvl w:ilvl="7">
      <w:start w:val="1"/>
      <w:numFmt w:val="bullet"/>
      <w:isLgl w:val="false"/>
      <w:suff w:val="tab"/>
      <w:lvlText w:val="o"/>
      <w:lvlJc w:val="left"/>
      <w:pPr>
        <w:ind w:left="5760" w:hanging="360"/>
      </w:pPr>
      <w:rPr>
        <w:rFonts w:hint="default" w:ascii="Courier New" w:hAnsi="Courier New" w:eastAsia="Courier New" w:cs="Courier New"/>
      </w:rPr>
    </w:lvl>
    <w:lvl w:ilvl="8">
      <w:start w:val="1"/>
      <w:numFmt w:val="bullet"/>
      <w:isLgl w:val="false"/>
      <w:suff w:val="tab"/>
      <w:lvlText w:val="§"/>
      <w:lvlJc w:val="left"/>
      <w:pPr>
        <w:ind w:left="6480" w:hanging="360"/>
      </w:pPr>
      <w:rPr>
        <w:rFonts w:hint="default" w:ascii="Wingdings" w:hAnsi="Wingdings" w:eastAsia="Wingdings" w:cs="Wingdings"/>
      </w:rPr>
    </w:lvl>
  </w:abstractNum>
  <w:num w:numId="1">
    <w:abstractNumId w:val="8"/>
  </w:num>
  <w:num w:numId="2">
    <w:abstractNumId w:val="26"/>
  </w:num>
  <w:num w:numId="3">
    <w:abstractNumId w:val="30"/>
  </w:num>
  <w:num w:numId="4">
    <w:abstractNumId w:val="16"/>
  </w:num>
  <w:num w:numId="5">
    <w:abstractNumId w:val="28"/>
  </w:num>
  <w:num w:numId="6">
    <w:abstractNumId w:val="21"/>
  </w:num>
  <w:num w:numId="7">
    <w:abstractNumId w:val="17"/>
  </w:num>
  <w:num w:numId="8">
    <w:abstractNumId w:val="14"/>
  </w:num>
  <w:num w:numId="9">
    <w:abstractNumId w:val="35"/>
  </w:num>
  <w:num w:numId="10">
    <w:abstractNumId w:val="19"/>
  </w:num>
  <w:num w:numId="11">
    <w:abstractNumId w:val="11"/>
  </w:num>
  <w:num w:numId="12">
    <w:abstractNumId w:val="33"/>
  </w:num>
  <w:num w:numId="13">
    <w:abstractNumId w:val="3"/>
  </w:num>
  <w:num w:numId="14">
    <w:abstractNumId w:val="1"/>
  </w:num>
  <w:num w:numId="15">
    <w:abstractNumId w:val="5"/>
  </w:num>
  <w:num w:numId="16">
    <w:abstractNumId w:val="12"/>
  </w:num>
  <w:num w:numId="17">
    <w:abstractNumId w:val="24"/>
  </w:num>
  <w:num w:numId="18">
    <w:abstractNumId w:val="25"/>
  </w:num>
  <w:num w:numId="19">
    <w:abstractNumId w:val="22"/>
  </w:num>
  <w:num w:numId="20">
    <w:abstractNumId w:val="20"/>
  </w:num>
  <w:num w:numId="21">
    <w:abstractNumId w:val="31"/>
  </w:num>
  <w:num w:numId="22">
    <w:abstractNumId w:val="32"/>
  </w:num>
  <w:num w:numId="23">
    <w:abstractNumId w:val="2"/>
  </w:num>
  <w:num w:numId="24">
    <w:abstractNumId w:val="10"/>
  </w:num>
  <w:num w:numId="25">
    <w:abstractNumId w:val="6"/>
  </w:num>
  <w:num w:numId="26">
    <w:abstractNumId w:val="13"/>
  </w:num>
  <w:num w:numId="27">
    <w:abstractNumId w:val="7"/>
  </w:num>
  <w:num w:numId="28">
    <w:abstractNumId w:val="23"/>
  </w:num>
  <w:num w:numId="29">
    <w:abstractNumId w:val="4"/>
  </w:num>
  <w:num w:numId="30">
    <w:abstractNumId w:val="34"/>
  </w:num>
  <w:num w:numId="31">
    <w:abstractNumId w:val="29"/>
  </w:num>
  <w:num w:numId="32">
    <w:abstractNumId w:val="27"/>
  </w:num>
  <w:num w:numId="33">
    <w:abstractNumId w:val="15"/>
  </w:num>
  <w:num w:numId="34">
    <w:abstractNumId w:val="9"/>
  </w:num>
  <w:num w:numId="35">
    <w:abstractNumId w:val="0"/>
  </w:num>
  <w:num w:numId="36">
    <w:abstractNumId w:val="18"/>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HAnsi" w:cstheme="minorBidi"/>
        <w:sz w:val="22"/>
        <w:szCs w:val="22"/>
        <w:lang w:val="ru-RU" w:eastAsia="en-US" w:bidi="ar-SA"/>
      </w:rPr>
    </w:rPrDefault>
    <w:pPrDefault>
      <w:pPr>
        <w:spacing w:before="0" w:beforeAutospacing="0" w:after="200" w:afterAutospacing="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character" w:styleId="839">
    <w:name w:val="Heading 1 Char"/>
    <w:basedOn w:val="1010"/>
    <w:link w:val="1007"/>
    <w:uiPriority w:val="9"/>
    <w:rPr>
      <w:rFonts w:ascii="Arial" w:hAnsi="Arial" w:eastAsia="Arial" w:cs="Arial"/>
      <w:sz w:val="40"/>
      <w:szCs w:val="40"/>
    </w:rPr>
  </w:style>
  <w:style w:type="character" w:styleId="840">
    <w:name w:val="Heading 2 Char"/>
    <w:basedOn w:val="1010"/>
    <w:link w:val="1008"/>
    <w:uiPriority w:val="9"/>
    <w:rPr>
      <w:rFonts w:ascii="Arial" w:hAnsi="Arial" w:eastAsia="Arial" w:cs="Arial"/>
      <w:sz w:val="34"/>
    </w:rPr>
  </w:style>
  <w:style w:type="character" w:styleId="841">
    <w:name w:val="Heading 3 Char"/>
    <w:basedOn w:val="1010"/>
    <w:link w:val="1009"/>
    <w:uiPriority w:val="9"/>
    <w:rPr>
      <w:rFonts w:ascii="Arial" w:hAnsi="Arial" w:eastAsia="Arial" w:cs="Arial"/>
      <w:sz w:val="30"/>
      <w:szCs w:val="30"/>
    </w:rPr>
  </w:style>
  <w:style w:type="paragraph" w:styleId="842">
    <w:name w:val="Heading 4"/>
    <w:basedOn w:val="1006"/>
    <w:next w:val="1006"/>
    <w:link w:val="843"/>
    <w:uiPriority w:val="9"/>
    <w:unhideWhenUsed/>
    <w:qFormat/>
    <w:pPr>
      <w:keepLines/>
      <w:keepNext/>
      <w:spacing w:before="320" w:after="200"/>
      <w:outlineLvl w:val="3"/>
    </w:pPr>
    <w:rPr>
      <w:rFonts w:ascii="Arial" w:hAnsi="Arial" w:eastAsia="Arial" w:cs="Arial"/>
      <w:b/>
      <w:bCs/>
      <w:sz w:val="26"/>
      <w:szCs w:val="26"/>
    </w:rPr>
  </w:style>
  <w:style w:type="character" w:styleId="843">
    <w:name w:val="Heading 4 Char"/>
    <w:basedOn w:val="1010"/>
    <w:link w:val="842"/>
    <w:uiPriority w:val="9"/>
    <w:rPr>
      <w:rFonts w:ascii="Arial" w:hAnsi="Arial" w:eastAsia="Arial" w:cs="Arial"/>
      <w:b/>
      <w:bCs/>
      <w:sz w:val="26"/>
      <w:szCs w:val="26"/>
    </w:rPr>
  </w:style>
  <w:style w:type="paragraph" w:styleId="844">
    <w:name w:val="Heading 5"/>
    <w:basedOn w:val="1006"/>
    <w:next w:val="1006"/>
    <w:link w:val="845"/>
    <w:uiPriority w:val="9"/>
    <w:unhideWhenUsed/>
    <w:qFormat/>
    <w:pPr>
      <w:keepLines/>
      <w:keepNext/>
      <w:spacing w:before="320" w:after="200"/>
      <w:outlineLvl w:val="4"/>
    </w:pPr>
    <w:rPr>
      <w:rFonts w:ascii="Arial" w:hAnsi="Arial" w:eastAsia="Arial" w:cs="Arial"/>
      <w:b/>
      <w:bCs/>
      <w:sz w:val="24"/>
      <w:szCs w:val="24"/>
    </w:rPr>
  </w:style>
  <w:style w:type="character" w:styleId="845">
    <w:name w:val="Heading 5 Char"/>
    <w:basedOn w:val="1010"/>
    <w:link w:val="844"/>
    <w:uiPriority w:val="9"/>
    <w:rPr>
      <w:rFonts w:ascii="Arial" w:hAnsi="Arial" w:eastAsia="Arial" w:cs="Arial"/>
      <w:b/>
      <w:bCs/>
      <w:sz w:val="24"/>
      <w:szCs w:val="24"/>
    </w:rPr>
  </w:style>
  <w:style w:type="paragraph" w:styleId="846">
    <w:name w:val="Heading 6"/>
    <w:basedOn w:val="1006"/>
    <w:next w:val="1006"/>
    <w:link w:val="847"/>
    <w:uiPriority w:val="9"/>
    <w:unhideWhenUsed/>
    <w:qFormat/>
    <w:pPr>
      <w:keepLines/>
      <w:keepNext/>
      <w:spacing w:before="320" w:after="200"/>
      <w:outlineLvl w:val="5"/>
    </w:pPr>
    <w:rPr>
      <w:rFonts w:ascii="Arial" w:hAnsi="Arial" w:eastAsia="Arial" w:cs="Arial"/>
      <w:b/>
      <w:bCs/>
      <w:sz w:val="22"/>
      <w:szCs w:val="22"/>
    </w:rPr>
  </w:style>
  <w:style w:type="character" w:styleId="847">
    <w:name w:val="Heading 6 Char"/>
    <w:basedOn w:val="1010"/>
    <w:link w:val="846"/>
    <w:uiPriority w:val="9"/>
    <w:rPr>
      <w:rFonts w:ascii="Arial" w:hAnsi="Arial" w:eastAsia="Arial" w:cs="Arial"/>
      <w:b/>
      <w:bCs/>
      <w:sz w:val="22"/>
      <w:szCs w:val="22"/>
    </w:rPr>
  </w:style>
  <w:style w:type="paragraph" w:styleId="848">
    <w:name w:val="Heading 7"/>
    <w:basedOn w:val="1006"/>
    <w:next w:val="1006"/>
    <w:link w:val="849"/>
    <w:uiPriority w:val="9"/>
    <w:unhideWhenUsed/>
    <w:qFormat/>
    <w:pPr>
      <w:keepLines/>
      <w:keepNext/>
      <w:spacing w:before="320" w:after="200"/>
      <w:outlineLvl w:val="6"/>
    </w:pPr>
    <w:rPr>
      <w:rFonts w:ascii="Arial" w:hAnsi="Arial" w:eastAsia="Arial" w:cs="Arial"/>
      <w:b/>
      <w:bCs/>
      <w:i/>
      <w:iCs/>
      <w:sz w:val="22"/>
      <w:szCs w:val="22"/>
    </w:rPr>
  </w:style>
  <w:style w:type="character" w:styleId="849">
    <w:name w:val="Heading 7 Char"/>
    <w:basedOn w:val="1010"/>
    <w:link w:val="848"/>
    <w:uiPriority w:val="9"/>
    <w:rPr>
      <w:rFonts w:ascii="Arial" w:hAnsi="Arial" w:eastAsia="Arial" w:cs="Arial"/>
      <w:b/>
      <w:bCs/>
      <w:i/>
      <w:iCs/>
      <w:sz w:val="22"/>
      <w:szCs w:val="22"/>
    </w:rPr>
  </w:style>
  <w:style w:type="paragraph" w:styleId="850">
    <w:name w:val="Heading 8"/>
    <w:basedOn w:val="1006"/>
    <w:next w:val="1006"/>
    <w:link w:val="851"/>
    <w:uiPriority w:val="9"/>
    <w:unhideWhenUsed/>
    <w:qFormat/>
    <w:pPr>
      <w:keepLines/>
      <w:keepNext/>
      <w:spacing w:before="320" w:after="200"/>
      <w:outlineLvl w:val="7"/>
    </w:pPr>
    <w:rPr>
      <w:rFonts w:ascii="Arial" w:hAnsi="Arial" w:eastAsia="Arial" w:cs="Arial"/>
      <w:i/>
      <w:iCs/>
      <w:sz w:val="22"/>
      <w:szCs w:val="22"/>
    </w:rPr>
  </w:style>
  <w:style w:type="character" w:styleId="851">
    <w:name w:val="Heading 8 Char"/>
    <w:basedOn w:val="1010"/>
    <w:link w:val="850"/>
    <w:uiPriority w:val="9"/>
    <w:rPr>
      <w:rFonts w:ascii="Arial" w:hAnsi="Arial" w:eastAsia="Arial" w:cs="Arial"/>
      <w:i/>
      <w:iCs/>
      <w:sz w:val="22"/>
      <w:szCs w:val="22"/>
    </w:rPr>
  </w:style>
  <w:style w:type="paragraph" w:styleId="852">
    <w:name w:val="Heading 9"/>
    <w:basedOn w:val="1006"/>
    <w:next w:val="1006"/>
    <w:link w:val="853"/>
    <w:uiPriority w:val="9"/>
    <w:unhideWhenUsed/>
    <w:qFormat/>
    <w:pPr>
      <w:keepLines/>
      <w:keepNext/>
      <w:spacing w:before="320" w:after="200"/>
      <w:outlineLvl w:val="8"/>
    </w:pPr>
    <w:rPr>
      <w:rFonts w:ascii="Arial" w:hAnsi="Arial" w:eastAsia="Arial" w:cs="Arial"/>
      <w:i/>
      <w:iCs/>
      <w:sz w:val="21"/>
      <w:szCs w:val="21"/>
    </w:rPr>
  </w:style>
  <w:style w:type="character" w:styleId="853">
    <w:name w:val="Heading 9 Char"/>
    <w:basedOn w:val="1010"/>
    <w:link w:val="852"/>
    <w:uiPriority w:val="9"/>
    <w:rPr>
      <w:rFonts w:ascii="Arial" w:hAnsi="Arial" w:eastAsia="Arial" w:cs="Arial"/>
      <w:i/>
      <w:iCs/>
      <w:sz w:val="21"/>
      <w:szCs w:val="21"/>
    </w:rPr>
  </w:style>
  <w:style w:type="paragraph" w:styleId="854">
    <w:name w:val="Title"/>
    <w:basedOn w:val="1006"/>
    <w:next w:val="1006"/>
    <w:link w:val="855"/>
    <w:uiPriority w:val="10"/>
    <w:qFormat/>
    <w:pPr>
      <w:contextualSpacing/>
      <w:spacing w:before="300" w:after="200"/>
    </w:pPr>
    <w:rPr>
      <w:sz w:val="48"/>
      <w:szCs w:val="48"/>
    </w:rPr>
  </w:style>
  <w:style w:type="character" w:styleId="855">
    <w:name w:val="Title Char"/>
    <w:basedOn w:val="1010"/>
    <w:link w:val="854"/>
    <w:uiPriority w:val="10"/>
    <w:rPr>
      <w:sz w:val="48"/>
      <w:szCs w:val="48"/>
    </w:rPr>
  </w:style>
  <w:style w:type="paragraph" w:styleId="856">
    <w:name w:val="Subtitle"/>
    <w:basedOn w:val="1006"/>
    <w:next w:val="1006"/>
    <w:link w:val="857"/>
    <w:uiPriority w:val="11"/>
    <w:qFormat/>
    <w:pPr>
      <w:spacing w:before="200" w:after="200"/>
    </w:pPr>
    <w:rPr>
      <w:sz w:val="24"/>
      <w:szCs w:val="24"/>
    </w:rPr>
  </w:style>
  <w:style w:type="character" w:styleId="857">
    <w:name w:val="Subtitle Char"/>
    <w:basedOn w:val="1010"/>
    <w:link w:val="856"/>
    <w:uiPriority w:val="11"/>
    <w:rPr>
      <w:sz w:val="24"/>
      <w:szCs w:val="24"/>
    </w:rPr>
  </w:style>
  <w:style w:type="paragraph" w:styleId="858">
    <w:name w:val="Quote"/>
    <w:basedOn w:val="1006"/>
    <w:next w:val="1006"/>
    <w:link w:val="859"/>
    <w:uiPriority w:val="29"/>
    <w:qFormat/>
    <w:pPr>
      <w:ind w:left="720" w:right="720"/>
    </w:pPr>
    <w:rPr>
      <w:i/>
    </w:rPr>
  </w:style>
  <w:style w:type="character" w:styleId="859">
    <w:name w:val="Quote Char"/>
    <w:link w:val="858"/>
    <w:uiPriority w:val="29"/>
    <w:rPr>
      <w:i/>
    </w:rPr>
  </w:style>
  <w:style w:type="paragraph" w:styleId="860">
    <w:name w:val="Intense Quote"/>
    <w:basedOn w:val="1006"/>
    <w:next w:val="1006"/>
    <w:link w:val="861"/>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61">
    <w:name w:val="Intense Quote Char"/>
    <w:link w:val="860"/>
    <w:uiPriority w:val="30"/>
    <w:rPr>
      <w:i/>
    </w:rPr>
  </w:style>
  <w:style w:type="character" w:styleId="862">
    <w:name w:val="Header Char"/>
    <w:basedOn w:val="1010"/>
    <w:link w:val="1017"/>
    <w:uiPriority w:val="99"/>
  </w:style>
  <w:style w:type="character" w:styleId="863">
    <w:name w:val="Footer Char"/>
    <w:basedOn w:val="1010"/>
    <w:link w:val="1043"/>
    <w:uiPriority w:val="99"/>
  </w:style>
  <w:style w:type="paragraph" w:styleId="864">
    <w:name w:val="Caption"/>
    <w:basedOn w:val="1006"/>
    <w:next w:val="1006"/>
    <w:link w:val="865"/>
    <w:uiPriority w:val="35"/>
    <w:semiHidden/>
    <w:unhideWhenUsed/>
    <w:qFormat/>
    <w:pPr>
      <w:spacing w:line="276" w:lineRule="auto"/>
    </w:pPr>
    <w:rPr>
      <w:b/>
      <w:bCs/>
      <w:color w:val="4f81bd" w:themeColor="accent1"/>
      <w:sz w:val="18"/>
      <w:szCs w:val="18"/>
    </w:rPr>
  </w:style>
  <w:style w:type="character" w:styleId="865">
    <w:name w:val="Caption Char"/>
    <w:basedOn w:val="864"/>
    <w:link w:val="1043"/>
    <w:uiPriority w:val="99"/>
  </w:style>
  <w:style w:type="table" w:styleId="866">
    <w:name w:val="Table Grid Light"/>
    <w:basedOn w:val="101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67">
    <w:name w:val="Plain Table 1"/>
    <w:basedOn w:val="1011"/>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68">
    <w:name w:val="Plain Table 2"/>
    <w:basedOn w:val="1011"/>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69">
    <w:name w:val="Plain Table 3"/>
    <w:basedOn w:val="101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70">
    <w:name w:val="Plain Table 4"/>
    <w:basedOn w:val="101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71">
    <w:name w:val="Plain Table 5"/>
    <w:basedOn w:val="1011"/>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72">
    <w:name w:val="Grid Table 1 Light"/>
    <w:basedOn w:val="1011"/>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73">
    <w:name w:val="Grid Table 1 Light - Accent 1"/>
    <w:basedOn w:val="101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74">
    <w:name w:val="Grid Table 1 Light - Accent 2"/>
    <w:basedOn w:val="101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75">
    <w:name w:val="Grid Table 1 Light - Accent 3"/>
    <w:basedOn w:val="101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76">
    <w:name w:val="Grid Table 1 Light - Accent 4"/>
    <w:basedOn w:val="101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77">
    <w:name w:val="Grid Table 1 Light - Accent 5"/>
    <w:basedOn w:val="101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78">
    <w:name w:val="Grid Table 1 Light - Accent 6"/>
    <w:basedOn w:val="101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79">
    <w:name w:val="Grid Table 2"/>
    <w:basedOn w:val="101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80">
    <w:name w:val="Grid Table 2 - Accent 1"/>
    <w:basedOn w:val="101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81">
    <w:name w:val="Grid Table 2 - Accent 2"/>
    <w:basedOn w:val="101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82">
    <w:name w:val="Grid Table 2 - Accent 3"/>
    <w:basedOn w:val="101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83">
    <w:name w:val="Grid Table 2 - Accent 4"/>
    <w:basedOn w:val="101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84">
    <w:name w:val="Grid Table 2 - Accent 5"/>
    <w:basedOn w:val="101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85">
    <w:name w:val="Grid Table 2 - Accent 6"/>
    <w:basedOn w:val="101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86">
    <w:name w:val="Grid Table 3"/>
    <w:basedOn w:val="1011"/>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87">
    <w:name w:val="Grid Table 3 - Accent 1"/>
    <w:basedOn w:val="1011"/>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ae5f1" w:themeFill="accent1" w:themeFillTint="34"/>
      </w:tcPr>
    </w:tblStylePr>
    <w:tblStylePr w:type="band1Vert">
      <w:rPr>
        <w:rFonts w:ascii="Arial" w:hAnsi="Arial"/>
        <w:color w:val="404040"/>
        <w:sz w:val="22"/>
      </w:rPr>
      <w:tcPr>
        <w:shd w:val="clear" w:color="ffffff" w:themeColor="accent1" w:themeTint="34" w:fill="dae5f1" w:themeFill="accent1"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88">
    <w:name w:val="Grid Table 3 - Accent 2"/>
    <w:basedOn w:val="1011"/>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89">
    <w:name w:val="Grid Table 3 - Accent 3"/>
    <w:basedOn w:val="1011"/>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90">
    <w:name w:val="Grid Table 3 - Accent 4"/>
    <w:basedOn w:val="1011"/>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91">
    <w:name w:val="Grid Table 3 - Accent 5"/>
    <w:basedOn w:val="1011"/>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92">
    <w:name w:val="Grid Table 3 - Accent 6"/>
    <w:basedOn w:val="1011"/>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i/>
        <w:color w:val="404040"/>
      </w:rPr>
      <w:pPr>
        <w:jc w:val="right"/>
      </w:pPr>
      <w:tcPr>
        <w:shd w:val="clear"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93">
    <w:name w:val="Grid Table 4"/>
    <w:basedOn w:val="1011"/>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94">
    <w:name w:val="Grid Table 4 - Accent 1"/>
    <w:basedOn w:val="1011"/>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ce6f1" w:themeFill="accent1" w:themeFillTint="32"/>
      </w:tcPr>
    </w:tblStylePr>
    <w:tblStylePr w:type="band1Vert">
      <w:rPr>
        <w:rFonts w:ascii="Arial" w:hAnsi="Arial"/>
        <w:color w:val="404040"/>
        <w:sz w:val="22"/>
      </w:rPr>
      <w:tcPr>
        <w:shd w:val="clear" w:color="ffffff" w:themeColor="accent1" w:themeTint="32" w:fill="dce6f1"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5d8d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95">
    <w:name w:val="Grid Table 4 - Accent 2"/>
    <w:basedOn w:val="1011"/>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2dcdb" w:themeFill="accent2" w:themeFillTint="32"/>
      </w:tcPr>
    </w:tblStylePr>
    <w:tblStylePr w:type="band1Vert">
      <w:rPr>
        <w:rFonts w:ascii="Arial" w:hAnsi="Arial"/>
        <w:color w:val="404040"/>
        <w:sz w:val="22"/>
      </w:rPr>
      <w:tcPr>
        <w:shd w:val="clear" w:color="ffffff" w:themeColor="accent2" w:themeTint="32" w:fill="f2dcdb"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96">
    <w:name w:val="Grid Table 4 - Accent 3"/>
    <w:basedOn w:val="1011"/>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af0dd" w:themeFill="accent3" w:themeFillTint="34"/>
      </w:tcPr>
    </w:tblStylePr>
    <w:tblStylePr w:type="band1Vert">
      <w:rPr>
        <w:rFonts w:ascii="Arial" w:hAnsi="Arial"/>
        <w:color w:val="404040"/>
        <w:sz w:val="22"/>
      </w:rPr>
      <w:tcPr>
        <w:shd w:val="clear" w:color="ffffff" w:themeColor="accent3" w:themeTint="34" w:fill="eaf0d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9bba59"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97">
    <w:name w:val="Grid Table 4 - Accent 4"/>
    <w:basedOn w:val="1011"/>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e5dfec" w:themeFill="accent4" w:themeFillTint="34"/>
      </w:tcPr>
    </w:tblStylePr>
    <w:tblStylePr w:type="band1Vert">
      <w:rPr>
        <w:rFonts w:ascii="Arial" w:hAnsi="Arial"/>
        <w:color w:val="404040"/>
        <w:sz w:val="22"/>
      </w:rPr>
      <w:tcPr>
        <w:shd w:val="clear" w:color="ffffff" w:themeColor="accent4" w:themeTint="34" w:fill="e5dfec"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98">
    <w:name w:val="Grid Table 4 - Accent 5"/>
    <w:basedOn w:val="1011"/>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aeef3" w:themeFill="accent5" w:themeFillTint="34"/>
      </w:tcPr>
    </w:tblStylePr>
    <w:tblStylePr w:type="band1Vert">
      <w:rPr>
        <w:rFonts w:ascii="Arial" w:hAnsi="Arial"/>
        <w:color w:val="404040"/>
        <w:sz w:val="22"/>
      </w:rPr>
      <w:tcPr>
        <w:shd w:val="clear" w:color="ffffff" w:themeColor="accent5" w:themeTint="34" w:fill="daeef3"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99">
    <w:name w:val="Grid Table 4 - Accent 6"/>
    <w:basedOn w:val="1011"/>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fde9d8" w:themeFill="accent6" w:themeFillTint="34"/>
      </w:tcPr>
    </w:tblStylePr>
    <w:tblStylePr w:type="band1Vert">
      <w:rPr>
        <w:rFonts w:ascii="Arial" w:hAnsi="Arial"/>
        <w:color w:val="404040"/>
        <w:sz w:val="22"/>
      </w:rPr>
      <w:tcPr>
        <w:shd w:val="clear" w:color="ffffff" w:themeColor="accent6" w:themeTint="34" w:fill="fde9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900">
    <w:name w:val="Grid Table 5 Dark"/>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901">
    <w:name w:val="Grid Table 5 Dark- Accent 1"/>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ae5f1" w:themeFill="accent1" w:themeFillTint="34"/>
    </w:tblPr>
    <w:tblStylePr w:type="band1Horz">
      <w:tcPr>
        <w:shd w:val="clear" w:color="ffffff" w:themeColor="accent1" w:themeTint="75" w:fill="adc5e0" w:themeFill="accent1" w:themeFillTint="75"/>
      </w:tcPr>
    </w:tblStylePr>
    <w:tblStylePr w:type="band1Vert">
      <w:tcPr>
        <w:shd w:val="clear" w:color="ffffff" w:themeColor="accent1" w:themeTint="75" w:fill="adc5e0" w:themeFill="accent1" w:themeFillTint="75"/>
      </w:tcPr>
    </w:tblStylePr>
    <w:tblStylePr w:type="firstCol">
      <w:rPr>
        <w:rFonts w:ascii="Arial" w:hAnsi="Arial"/>
        <w:b/>
        <w:color w:val="ffffff"/>
        <w:sz w:val="22"/>
      </w:rPr>
      <w:tcPr>
        <w:shd w:val="clear" w:color="ffffff" w:themeColor="accent1" w:fill="4f81bd" w:themeFill="accent1"/>
      </w:tcPr>
    </w:tblStylePr>
    <w:tblStylePr w:type="firstRow">
      <w:rPr>
        <w:rFonts w:ascii="Arial" w:hAnsi="Arial"/>
        <w:b/>
        <w:color w:val="ffffff"/>
        <w:sz w:val="22"/>
      </w:rPr>
      <w:tcPr>
        <w:shd w:val="clear" w:color="ffffff" w:themeColor="accent1" w:fill="4f81bd" w:themeFill="accent1"/>
      </w:tcPr>
    </w:tblStylePr>
    <w:tblStylePr w:type="lastCol">
      <w:rPr>
        <w:rFonts w:ascii="Arial" w:hAnsi="Arial"/>
        <w:b/>
        <w:color w:val="ffffff"/>
        <w:sz w:val="22"/>
      </w:rPr>
      <w:tcPr>
        <w:shd w:val="clear" w:color="ffffff" w:themeColor="accent1" w:fill="4f81bd" w:themeFill="accent1"/>
      </w:tcPr>
    </w:tblStylePr>
    <w:tblStylePr w:type="lastRow">
      <w:rPr>
        <w:rFonts w:ascii="Arial" w:hAnsi="Arial"/>
        <w:b/>
        <w:color w:val="ffffff"/>
        <w:sz w:val="22"/>
      </w:rPr>
      <w:tcPr>
        <w:shd w:val="clear" w:color="ffffff" w:themeColor="accent1" w:fill="4f81bd" w:themeFill="accent1"/>
        <w:tcBorders>
          <w:top w:val="single" w:color="000000" w:themeColor="light1" w:sz="4" w:space="0"/>
        </w:tcBorders>
      </w:tcPr>
    </w:tblStylePr>
  </w:style>
  <w:style w:type="table" w:styleId="902">
    <w:name w:val="Grid Table 5 Dark - Accent 2"/>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2dcdb" w:themeFill="accent2" w:themeFillTint="32"/>
    </w:tblPr>
    <w:tblStylePr w:type="band1Horz">
      <w:tcPr>
        <w:shd w:val="clear" w:color="ffffff" w:themeColor="accent2" w:themeTint="75" w:fill="e1adac" w:themeFill="accent2" w:themeFillTint="75"/>
      </w:tcPr>
    </w:tblStylePr>
    <w:tblStylePr w:type="band1Vert">
      <w:tcPr>
        <w:shd w:val="clear" w:color="ffffff" w:themeColor="accent2" w:themeTint="75" w:fill="e1adac" w:themeFill="accent2" w:themeFillTint="75"/>
      </w:tcPr>
    </w:tblStylePr>
    <w:tblStylePr w:type="firstCol">
      <w:rPr>
        <w:rFonts w:ascii="Arial" w:hAnsi="Arial"/>
        <w:b/>
        <w:color w:val="ffffff"/>
        <w:sz w:val="22"/>
      </w:rPr>
      <w:tcPr>
        <w:shd w:val="clear" w:color="ffffff" w:themeColor="accent2" w:fill="c0504d" w:themeFill="accent2"/>
      </w:tcPr>
    </w:tblStylePr>
    <w:tblStylePr w:type="firstRow">
      <w:rPr>
        <w:rFonts w:ascii="Arial" w:hAnsi="Arial"/>
        <w:b/>
        <w:color w:val="ffffff"/>
        <w:sz w:val="22"/>
      </w:rPr>
      <w:tcPr>
        <w:shd w:val="clear" w:color="ffffff" w:themeColor="accent2" w:fill="c0504d" w:themeFill="accent2"/>
      </w:tcPr>
    </w:tblStylePr>
    <w:tblStylePr w:type="lastCol">
      <w:rPr>
        <w:rFonts w:ascii="Arial" w:hAnsi="Arial"/>
        <w:b/>
        <w:color w:val="ffffff"/>
        <w:sz w:val="22"/>
      </w:rPr>
      <w:tcPr>
        <w:shd w:val="clear" w:color="ffffff" w:themeColor="accent2" w:fill="c0504d" w:themeFill="accent2"/>
      </w:tcPr>
    </w:tblStylePr>
    <w:tblStylePr w:type="lastRow">
      <w:rPr>
        <w:rFonts w:ascii="Arial" w:hAnsi="Arial"/>
        <w:b/>
        <w:color w:val="ffffff"/>
        <w:sz w:val="22"/>
      </w:rPr>
      <w:tcPr>
        <w:shd w:val="clear" w:color="ffffff" w:themeColor="accent2" w:fill="c0504d" w:themeFill="accent2"/>
        <w:tcBorders>
          <w:top w:val="single" w:color="000000" w:themeColor="light1" w:sz="4" w:space="0"/>
        </w:tcBorders>
      </w:tcPr>
    </w:tblStylePr>
  </w:style>
  <w:style w:type="table" w:styleId="903">
    <w:name w:val="Grid Table 5 Dark - Accent 3"/>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af0dd" w:themeFill="accent3" w:themeFillTint="34"/>
    </w:tblPr>
    <w:tblStylePr w:type="band1Horz">
      <w:tcPr>
        <w:shd w:val="clear" w:color="ffffff" w:themeColor="accent3" w:themeTint="75" w:fill="d1dfb2" w:themeFill="accent3" w:themeFillTint="75"/>
      </w:tcPr>
    </w:tblStylePr>
    <w:tblStylePr w:type="band1Vert">
      <w:tcPr>
        <w:shd w:val="clear" w:color="ffffff" w:themeColor="accent3" w:themeTint="75" w:fill="d1dfb2" w:themeFill="accent3" w:themeFillTint="75"/>
      </w:tcPr>
    </w:tblStylePr>
    <w:tblStylePr w:type="firstCol">
      <w:rPr>
        <w:rFonts w:ascii="Arial" w:hAnsi="Arial"/>
        <w:b/>
        <w:color w:val="ffffff"/>
        <w:sz w:val="22"/>
      </w:rPr>
      <w:tcPr>
        <w:shd w:val="clear" w:color="ffffff" w:themeColor="accent3" w:fill="9bbb59" w:themeFill="accent3"/>
      </w:tcPr>
    </w:tblStylePr>
    <w:tblStylePr w:type="firstRow">
      <w:rPr>
        <w:rFonts w:ascii="Arial" w:hAnsi="Arial"/>
        <w:b/>
        <w:color w:val="ffffff"/>
        <w:sz w:val="22"/>
      </w:rPr>
      <w:tcPr>
        <w:shd w:val="clear" w:color="ffffff" w:themeColor="accent3" w:fill="9bbb59" w:themeFill="accent3"/>
      </w:tcPr>
    </w:tblStylePr>
    <w:tblStylePr w:type="lastCol">
      <w:rPr>
        <w:rFonts w:ascii="Arial" w:hAnsi="Arial"/>
        <w:b/>
        <w:color w:val="ffffff"/>
        <w:sz w:val="22"/>
      </w:rPr>
      <w:tcPr>
        <w:shd w:val="clear" w:color="ffffff" w:themeColor="accent3" w:fill="9bbb59" w:themeFill="accent3"/>
      </w:tcPr>
    </w:tblStylePr>
    <w:tblStylePr w:type="lastRow">
      <w:rPr>
        <w:rFonts w:ascii="Arial" w:hAnsi="Arial"/>
        <w:b/>
        <w:color w:val="ffffff"/>
        <w:sz w:val="22"/>
      </w:rPr>
      <w:tcPr>
        <w:shd w:val="clear" w:color="ffffff" w:themeColor="accent3" w:fill="9bbb59" w:themeFill="accent3"/>
        <w:tcBorders>
          <w:top w:val="single" w:color="000000" w:themeColor="light1" w:sz="4" w:space="0"/>
        </w:tcBorders>
      </w:tcPr>
    </w:tblStylePr>
  </w:style>
  <w:style w:type="table" w:styleId="904">
    <w:name w:val="Grid Table 5 Dark- Accent 4"/>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blStylePr w:type="band1Horz">
      <w:tcPr>
        <w:shd w:val="clear" w:color="ffffff" w:themeColor="accent4" w:themeTint="75" w:fill="c4b7d4" w:themeFill="accent4" w:themeFillTint="75"/>
      </w:tcPr>
    </w:tblStylePr>
    <w:tblStylePr w:type="band1Vert">
      <w:tcPr>
        <w:shd w:val="clear" w:color="ffffff" w:themeColor="accent4" w:themeTint="75" w:fill="c4b7d4" w:themeFill="accent4" w:themeFillTint="75"/>
      </w:tcPr>
    </w:tblStylePr>
    <w:tblStylePr w:type="firstCol">
      <w:rPr>
        <w:rFonts w:ascii="Arial" w:hAnsi="Arial"/>
        <w:b/>
        <w:color w:val="ffffff"/>
        <w:sz w:val="22"/>
      </w:rPr>
      <w:tcPr>
        <w:shd w:val="clear" w:color="ffffff" w:themeColor="accent4" w:fill="8064a2" w:themeFill="accent4"/>
      </w:tcPr>
    </w:tblStylePr>
    <w:tblStylePr w:type="firstRow">
      <w:rPr>
        <w:rFonts w:ascii="Arial" w:hAnsi="Arial"/>
        <w:b/>
        <w:color w:val="ffffff"/>
        <w:sz w:val="22"/>
      </w:rPr>
      <w:tcPr>
        <w:shd w:val="clear" w:color="ffffff" w:themeColor="accent4" w:fill="8064a2" w:themeFill="accent4"/>
      </w:tcPr>
    </w:tblStylePr>
    <w:tblStylePr w:type="lastCol">
      <w:rPr>
        <w:rFonts w:ascii="Arial" w:hAnsi="Arial"/>
        <w:b/>
        <w:color w:val="ffffff"/>
        <w:sz w:val="22"/>
      </w:rPr>
      <w:tcPr>
        <w:shd w:val="clear" w:color="ffffff" w:themeColor="accent4" w:fill="8064a2" w:themeFill="accent4"/>
      </w:tcPr>
    </w:tblStylePr>
    <w:tblStylePr w:type="lastRow">
      <w:rPr>
        <w:rFonts w:ascii="Arial" w:hAnsi="Arial"/>
        <w:b/>
        <w:color w:val="ffffff"/>
        <w:sz w:val="22"/>
      </w:rPr>
      <w:tcPr>
        <w:shd w:val="clear" w:color="ffffff" w:themeColor="accent4" w:fill="8064a2" w:themeFill="accent4"/>
        <w:tcBorders>
          <w:top w:val="single" w:color="000000" w:themeColor="light1" w:sz="4" w:space="0"/>
        </w:tcBorders>
      </w:tcPr>
    </w:tblStylePr>
  </w:style>
  <w:style w:type="table" w:styleId="905">
    <w:name w:val="Grid Table 5 Dark - Accent 5"/>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blStylePr w:type="band1Horz">
      <w:tcPr>
        <w:shd w:val="clear" w:color="ffffff" w:themeColor="accent5" w:themeTint="75" w:fill="abd9e4" w:themeFill="accent5" w:themeFillTint="75"/>
      </w:tcPr>
    </w:tblStylePr>
    <w:tblStylePr w:type="band1Vert">
      <w:tcPr>
        <w:shd w:val="clear" w:color="ffffff" w:themeColor="accent5" w:themeTint="75" w:fill="abd9e4" w:themeFill="accent5" w:themeFillTint="75"/>
      </w:tcPr>
    </w:tblStylePr>
    <w:tblStylePr w:type="firstCol">
      <w:rPr>
        <w:rFonts w:ascii="Arial" w:hAnsi="Arial"/>
        <w:b/>
        <w:color w:val="ffffff"/>
        <w:sz w:val="22"/>
      </w:rPr>
      <w:tcPr>
        <w:shd w:val="clear" w:color="ffffff" w:themeColor="accent5" w:fill="4bacc6" w:themeFill="accent5"/>
      </w:tcPr>
    </w:tblStylePr>
    <w:tblStylePr w:type="firstRow">
      <w:rPr>
        <w:rFonts w:ascii="Arial" w:hAnsi="Arial"/>
        <w:b/>
        <w:color w:val="ffffff"/>
        <w:sz w:val="22"/>
      </w:rPr>
      <w:tcPr>
        <w:shd w:val="clear" w:color="ffffff" w:themeColor="accent5" w:fill="4bacc6" w:themeFill="accent5"/>
      </w:tcPr>
    </w:tblStylePr>
    <w:tblStylePr w:type="lastCol">
      <w:rPr>
        <w:rFonts w:ascii="Arial" w:hAnsi="Arial"/>
        <w:b/>
        <w:color w:val="ffffff"/>
        <w:sz w:val="22"/>
      </w:rPr>
      <w:tcPr>
        <w:shd w:val="clear" w:color="ffffff" w:themeColor="accent5" w:fill="4bacc6" w:themeFill="accent5"/>
      </w:tcPr>
    </w:tblStylePr>
    <w:tblStylePr w:type="lastRow">
      <w:rPr>
        <w:rFonts w:ascii="Arial" w:hAnsi="Arial"/>
        <w:b/>
        <w:color w:val="ffffff"/>
        <w:sz w:val="22"/>
      </w:rPr>
      <w:tcPr>
        <w:shd w:val="clear" w:color="ffffff" w:themeColor="accent5" w:fill="4bacc6" w:themeFill="accent5"/>
        <w:tcBorders>
          <w:top w:val="single" w:color="000000" w:themeColor="light1" w:sz="4" w:space="0"/>
        </w:tcBorders>
      </w:tcPr>
    </w:tblStylePr>
  </w:style>
  <w:style w:type="table" w:styleId="906">
    <w:name w:val="Grid Table 5 Dark - Accent 6"/>
    <w:basedOn w:val="1011"/>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9d8" w:themeFill="accent6" w:themeFillTint="34"/>
    </w:tblPr>
    <w:tblStylePr w:type="band1Horz">
      <w:tcPr>
        <w:shd w:val="clear" w:color="ffffff" w:themeColor="accent6" w:themeTint="75" w:fill="fbcda8" w:themeFill="accent6" w:themeFillTint="75"/>
      </w:tcPr>
    </w:tblStylePr>
    <w:tblStylePr w:type="band1Vert">
      <w:tcPr>
        <w:shd w:val="clear" w:color="ffffff" w:themeColor="accent6" w:themeTint="75" w:fill="fbcda8" w:themeFill="accent6" w:themeFillTint="75"/>
      </w:tcPr>
    </w:tblStylePr>
    <w:tblStylePr w:type="firstCol">
      <w:rPr>
        <w:rFonts w:ascii="Arial" w:hAnsi="Arial"/>
        <w:b/>
        <w:color w:val="ffffff"/>
        <w:sz w:val="22"/>
      </w:rPr>
      <w:tcPr>
        <w:shd w:val="clear" w:color="ffffff" w:themeColor="accent6" w:fill="f79646" w:themeFill="accent6"/>
      </w:tcPr>
    </w:tblStylePr>
    <w:tblStylePr w:type="firstRow">
      <w:rPr>
        <w:rFonts w:ascii="Arial" w:hAnsi="Arial"/>
        <w:b/>
        <w:color w:val="ffffff"/>
        <w:sz w:val="22"/>
      </w:rPr>
      <w:tcPr>
        <w:shd w:val="clear" w:color="ffffff" w:themeColor="accent6" w:fill="f79646" w:themeFill="accent6"/>
      </w:tcPr>
    </w:tblStylePr>
    <w:tblStylePr w:type="lastCol">
      <w:rPr>
        <w:rFonts w:ascii="Arial" w:hAnsi="Arial"/>
        <w:b/>
        <w:color w:val="ffffff"/>
        <w:sz w:val="22"/>
      </w:rPr>
      <w:tcPr>
        <w:shd w:val="clear" w:color="ffffff" w:themeColor="accent6" w:fill="f79646" w:themeFill="accent6"/>
      </w:tcPr>
    </w:tblStylePr>
    <w:tblStylePr w:type="lastRow">
      <w:rPr>
        <w:rFonts w:ascii="Arial" w:hAnsi="Arial"/>
        <w:b/>
        <w:color w:val="ffffff"/>
        <w:sz w:val="22"/>
      </w:rPr>
      <w:tcPr>
        <w:shd w:val="clear" w:color="ffffff" w:themeColor="accent6" w:fill="f79646" w:themeFill="accent6"/>
        <w:tcBorders>
          <w:top w:val="single" w:color="000000" w:themeColor="light1" w:sz="4" w:space="0"/>
        </w:tcBorders>
      </w:tcPr>
    </w:tblStylePr>
  </w:style>
  <w:style w:type="table" w:styleId="907">
    <w:name w:val="Grid Table 6 Colorful"/>
    <w:basedOn w:val="1011"/>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908">
    <w:name w:val="Grid Table 6 Colorful - Accent 1"/>
    <w:basedOn w:val="1011"/>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404040" w:themeColor="accent1" w:themeTint="80" w:themeShade="95"/>
        <w:sz w:val="22"/>
      </w:rPr>
    </w:tblStylePr>
    <w:tblStylePr w:type="firstCol">
      <w:rPr>
        <w:b/>
        <w:color w:val="3e70a3" w:themeColor="accent1" w:themeTint="80" w:themeShade="95"/>
      </w:rPr>
    </w:tblStylePr>
    <w:tblStylePr w:type="firstRow">
      <w:rPr>
        <w:b/>
        <w:color w:val="3e70a3" w:themeColor="accent1" w:themeTint="80" w:themeShade="95"/>
      </w:rPr>
      <w:tcPr>
        <w:tcBorders>
          <w:bottom w:val="single" w:color="000000" w:themeColor="accent1" w:themeTint="80" w:sz="12" w:space="0"/>
        </w:tcBorders>
      </w:tcPr>
    </w:tblStylePr>
    <w:tblStylePr w:type="lastCol">
      <w:rPr>
        <w:b/>
        <w:color w:val="3e70a3" w:themeColor="accent1" w:themeTint="80" w:themeShade="95"/>
      </w:rPr>
    </w:tblStylePr>
    <w:tblStylePr w:type="lastRow">
      <w:rPr>
        <w:b/>
        <w:color w:val="3e70a3" w:themeColor="accent1" w:themeTint="80" w:themeShade="95"/>
      </w:rPr>
    </w:tblStylePr>
    <w:tblStylePr w:type="wholeTable">
      <w:rPr>
        <w:rFonts w:ascii="Arial" w:hAnsi="Arial"/>
        <w:color w:val="404040" w:themeColor="accent1" w:themeTint="80" w:themeShade="95"/>
        <w:sz w:val="22"/>
      </w:rPr>
    </w:tblStylePr>
  </w:style>
  <w:style w:type="table" w:styleId="909">
    <w:name w:val="Grid Table 6 Colorful - Accent 2"/>
    <w:basedOn w:val="101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12" w:space="0"/>
        </w:tcBorders>
      </w:tcPr>
    </w:tblStylePr>
    <w:tblStylePr w:type="lastCol">
      <w:rPr>
        <w:b/>
        <w:color w:val="9c3a37" w:themeColor="accent2" w:themeTint="97" w:themeShade="95"/>
      </w:rPr>
    </w:tblStylePr>
    <w:tblStylePr w:type="lastRow">
      <w:rPr>
        <w:b/>
        <w:color w:val="9c3a37" w:themeColor="accent2" w:themeTint="97" w:themeShade="95"/>
      </w:rPr>
    </w:tblStylePr>
    <w:tblStylePr w:type="wholeTable">
      <w:rPr>
        <w:rFonts w:ascii="Arial" w:hAnsi="Arial"/>
        <w:color w:val="404040" w:themeColor="accent2" w:themeTint="97" w:themeShade="95"/>
        <w:sz w:val="22"/>
      </w:rPr>
    </w:tblStylePr>
  </w:style>
  <w:style w:type="table" w:styleId="910">
    <w:name w:val="Grid Table 6 Colorful - Accent 3"/>
    <w:basedOn w:val="1011"/>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404040" w:themeColor="accent3" w:themeTint="FE" w:themeShade="95"/>
        <w:sz w:val="22"/>
      </w:rPr>
    </w:tblStylePr>
    <w:tblStylePr w:type="firstCol">
      <w:rPr>
        <w:b/>
        <w:color w:val="5c702f" w:themeColor="accent3" w:themeTint="FE" w:themeShade="95"/>
      </w:rPr>
    </w:tblStylePr>
    <w:tblStylePr w:type="firstRow">
      <w:rPr>
        <w:b/>
        <w:color w:val="5c702f" w:themeColor="accent3" w:themeTint="FE" w:themeShade="95"/>
      </w:rPr>
      <w:tcPr>
        <w:tcBorders>
          <w:bottom w:val="single" w:color="000000" w:themeColor="accent3" w:themeTint="FE" w:sz="12" w:space="0"/>
        </w:tcBorders>
      </w:tcPr>
    </w:tblStylePr>
    <w:tblStylePr w:type="lastCol">
      <w:rPr>
        <w:b/>
        <w:color w:val="5c702f" w:themeColor="accent3" w:themeTint="FE" w:themeShade="95"/>
      </w:rPr>
    </w:tblStylePr>
    <w:tblStylePr w:type="lastRow">
      <w:rPr>
        <w:b/>
        <w:color w:val="5c702f" w:themeColor="accent3" w:themeTint="FE" w:themeShade="95"/>
      </w:rPr>
    </w:tblStylePr>
    <w:tblStylePr w:type="wholeTable">
      <w:rPr>
        <w:rFonts w:ascii="Arial" w:hAnsi="Arial"/>
        <w:color w:val="404040" w:themeColor="accent3" w:themeTint="FE" w:themeShade="95"/>
        <w:sz w:val="22"/>
      </w:rPr>
    </w:tblStylePr>
  </w:style>
  <w:style w:type="table" w:styleId="911">
    <w:name w:val="Grid Table 6 Colorful - Accent 4"/>
    <w:basedOn w:val="101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12" w:space="0"/>
        </w:tcBorders>
      </w:tcPr>
    </w:tblStylePr>
    <w:tblStylePr w:type="lastCol">
      <w:rPr>
        <w:b/>
        <w:color w:val="664f82" w:themeColor="accent4" w:themeTint="9A" w:themeShade="95"/>
      </w:rPr>
    </w:tblStylePr>
    <w:tblStylePr w:type="lastRow">
      <w:rPr>
        <w:b/>
        <w:color w:val="664f82" w:themeColor="accent4" w:themeTint="9A" w:themeShade="95"/>
      </w:rPr>
    </w:tblStylePr>
    <w:tblStylePr w:type="wholeTable">
      <w:rPr>
        <w:rFonts w:ascii="Arial" w:hAnsi="Arial"/>
        <w:color w:val="404040" w:themeColor="accent4" w:themeTint="9A" w:themeShade="95"/>
        <w:sz w:val="22"/>
      </w:rPr>
    </w:tblStylePr>
  </w:style>
  <w:style w:type="table" w:styleId="912">
    <w:name w:val="Grid Table 6 Colorful - Accent 5"/>
    <w:basedOn w:val="1011"/>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5"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913">
    <w:name w:val="Grid Table 6 Colorful - Accent 6"/>
    <w:basedOn w:val="1011"/>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404040" w:themeColor="accent5" w:themeShade="95"/>
        <w:sz w:val="22"/>
      </w:rPr>
    </w:tblStylePr>
    <w:tblStylePr w:type="firstCol">
      <w:rPr>
        <w:b/>
        <w:color w:val="266777" w:themeColor="accent5" w:themeShade="95"/>
      </w:rPr>
    </w:tblStylePr>
    <w:tblStylePr w:type="firstRow">
      <w:rPr>
        <w:b/>
        <w:color w:val="266777" w:themeColor="accent5" w:themeShade="95"/>
      </w:rPr>
      <w:tcPr>
        <w:tcBorders>
          <w:bottom w:val="single" w:color="000000" w:themeColor="accent6" w:sz="12" w:space="0"/>
        </w:tcBorders>
      </w:tcPr>
    </w:tblStylePr>
    <w:tblStylePr w:type="lastCol">
      <w:rPr>
        <w:b/>
        <w:color w:val="266777" w:themeColor="accent5" w:themeShade="95"/>
      </w:rPr>
    </w:tblStylePr>
    <w:tblStylePr w:type="lastRow">
      <w:rPr>
        <w:b/>
        <w:color w:val="266777" w:themeColor="accent5" w:themeShade="95"/>
      </w:rPr>
    </w:tblStylePr>
    <w:tblStylePr w:type="wholeTable">
      <w:rPr>
        <w:rFonts w:ascii="Arial" w:hAnsi="Arial"/>
        <w:color w:val="404040" w:themeColor="accent5" w:themeShade="95"/>
        <w:sz w:val="22"/>
      </w:rPr>
    </w:tblStylePr>
  </w:style>
  <w:style w:type="table" w:styleId="914">
    <w:name w:val="Grid Table 7 Colorful"/>
    <w:basedOn w:val="1011"/>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915">
    <w:name w:val="Grid Table 7 Colorful - Accent 1"/>
    <w:basedOn w:val="1011"/>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e70a3" w:themeColor="accent1" w:themeTint="80" w:themeShade="95"/>
        <w:sz w:val="22"/>
      </w:rPr>
      <w:tcPr>
        <w:shd w:val="clear" w:color="ffffff" w:themeColor="accent1" w:themeTint="34" w:fill="dae5f1" w:themeFill="accent1" w:themeFillTint="34"/>
      </w:tcPr>
    </w:tblStylePr>
    <w:tblStylePr w:type="band1Vert">
      <w:tcPr>
        <w:shd w:val="clear" w:color="ffffff" w:themeColor="accent1" w:themeTint="34" w:fill="dae5f1" w:themeFill="accent1" w:themeFillTint="34"/>
      </w:tcPr>
    </w:tblStylePr>
    <w:tblStylePr w:type="band2Horz">
      <w:rPr>
        <w:rFonts w:ascii="Arial" w:hAnsi="Arial"/>
        <w:color w:val="3e70a3" w:themeColor="accent1" w:themeTint="80" w:themeShade="95"/>
        <w:sz w:val="22"/>
      </w:rPr>
    </w:tblStylePr>
    <w:tblStylePr w:type="firstCol">
      <w:rPr>
        <w:rFonts w:ascii="Arial" w:hAnsi="Arial"/>
        <w:i/>
        <w:color w:val="3e70a3" w:themeColor="accen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e70a3"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e70a3" w:themeColor="accent1" w:themeTint="80" w:themeShade="95"/>
        <w:sz w:val="22"/>
      </w:rPr>
      <w:tcPr>
        <w:shd w:val="clear"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e70a3"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916">
    <w:name w:val="Grid Table 7 Colorful - Accent 2"/>
    <w:basedOn w:val="1011"/>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32" w:fill="f2dcdb" w:themeFill="accent2" w:themeFillTint="32"/>
      </w:tcPr>
    </w:tblStylePr>
    <w:tblStylePr w:type="band1Vert">
      <w:tcPr>
        <w:shd w:val="clear" w:color="ffffff" w:themeColor="accent2" w:themeTint="32" w:fill="f2dcdb" w:themeFill="accent2" w:themeFillTint="32"/>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917">
    <w:name w:val="Grid Table 7 Colorful - Accent 3"/>
    <w:basedOn w:val="1011"/>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5c702f" w:themeColor="accent3" w:themeTint="FE" w:themeShade="95"/>
        <w:sz w:val="22"/>
      </w:rPr>
      <w:tcPr>
        <w:shd w:val="clear" w:color="ffffff" w:themeColor="accent3" w:themeTint="34" w:fill="eaf0dd" w:themeFill="accent3" w:themeFillTint="34"/>
      </w:tcPr>
    </w:tblStylePr>
    <w:tblStylePr w:type="band1Vert">
      <w:tcPr>
        <w:shd w:val="clear" w:color="ffffff" w:themeColor="accent3" w:themeTint="34" w:fill="eaf0dd" w:themeFill="accent3" w:themeFillTint="34"/>
      </w:tcPr>
    </w:tblStylePr>
    <w:tblStylePr w:type="band2Horz">
      <w:rPr>
        <w:rFonts w:ascii="Arial" w:hAnsi="Arial"/>
        <w:color w:val="5c702f" w:themeColor="accent3" w:themeTint="FE" w:themeShade="95"/>
        <w:sz w:val="22"/>
      </w:rPr>
    </w:tblStylePr>
    <w:tblStylePr w:type="firstCol">
      <w:rPr>
        <w:rFonts w:ascii="Arial" w:hAnsi="Arial"/>
        <w:i/>
        <w:color w:val="5c702f" w:themeColor="accent3" w:themeTint="FE"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5c702f"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5c702f" w:themeColor="accent3" w:themeTint="FE" w:themeShade="95"/>
        <w:sz w:val="22"/>
      </w:rPr>
      <w:tcPr>
        <w:shd w:val="clear"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5c702f"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918">
    <w:name w:val="Grid Table 7 Colorful - Accent 4"/>
    <w:basedOn w:val="1011"/>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34" w:fill="e5dfec" w:themeFill="accent4" w:themeFillTint="34"/>
      </w:tcPr>
    </w:tblStylePr>
    <w:tblStylePr w:type="band1Vert">
      <w:tcPr>
        <w:shd w:val="clear" w:color="ffffff" w:themeColor="accent4" w:themeTint="34" w:fill="e5dfec" w:themeFill="accent4" w:themeFillTint="34"/>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919">
    <w:name w:val="Grid Table 7 Colorful - Accent 5"/>
    <w:basedOn w:val="1011"/>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66777" w:themeColor="accent5" w:themeShade="95"/>
        <w:sz w:val="22"/>
      </w:rPr>
      <w:tcPr>
        <w:shd w:val="clear" w:color="ffffff" w:themeColor="accent5" w:themeTint="34" w:fill="daeef3" w:themeFill="accent5" w:themeFillTint="34"/>
      </w:tcPr>
    </w:tblStylePr>
    <w:tblStylePr w:type="band1Vert">
      <w:tcPr>
        <w:shd w:val="clear" w:color="ffffff" w:themeColor="accent5" w:themeTint="34" w:fill="daeef3" w:themeFill="accent5" w:themeFillTint="34"/>
      </w:tcPr>
    </w:tblStylePr>
    <w:tblStylePr w:type="band2Horz">
      <w:rPr>
        <w:rFonts w:ascii="Arial" w:hAnsi="Arial"/>
        <w:color w:val="266777" w:themeColor="accent5" w:themeShade="95"/>
        <w:sz w:val="22"/>
      </w:rPr>
    </w:tblStylePr>
    <w:tblStylePr w:type="firstCol">
      <w:rPr>
        <w:rFonts w:ascii="Arial" w:hAnsi="Arial"/>
        <w:i/>
        <w:color w:val="266777" w:themeColor="accent5"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66777"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66777" w:themeColor="accent5" w:themeShade="95"/>
        <w:sz w:val="22"/>
      </w:rPr>
      <w:tcPr>
        <w:shd w:val="clear"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66777"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920">
    <w:name w:val="Grid Table 7 Colorful - Accent 6"/>
    <w:basedOn w:val="1011"/>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b05307" w:themeColor="accent6" w:themeShade="95"/>
        <w:sz w:val="22"/>
      </w:rPr>
      <w:tcPr>
        <w:shd w:val="clear" w:color="ffffff" w:themeColor="accent6" w:themeTint="34" w:fill="fde9d8" w:themeFill="accent6" w:themeFillTint="34"/>
      </w:tcPr>
    </w:tblStylePr>
    <w:tblStylePr w:type="band1Vert">
      <w:tcPr>
        <w:shd w:val="clear" w:color="ffffff" w:themeColor="accent6" w:themeTint="34" w:fill="fde9d8" w:themeFill="accent6" w:themeFillTint="34"/>
      </w:tcPr>
    </w:tblStylePr>
    <w:tblStylePr w:type="band2Horz">
      <w:rPr>
        <w:rFonts w:ascii="Arial" w:hAnsi="Arial"/>
        <w:color w:val="b05307" w:themeColor="accent6" w:themeShade="95"/>
        <w:sz w:val="22"/>
      </w:rPr>
    </w:tblStylePr>
    <w:tblStylePr w:type="firstCol">
      <w:rPr>
        <w:rFonts w:ascii="Arial" w:hAnsi="Arial"/>
        <w:i/>
        <w:color w:val="b05307" w:themeColor="accent6"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b05307"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b05307" w:themeColor="accent6" w:themeShade="95"/>
        <w:sz w:val="22"/>
      </w:rPr>
      <w:tcPr>
        <w:shd w:val="clear"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b05307"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921">
    <w:name w:val="List Table 1 Light"/>
    <w:basedOn w:val="1011"/>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922">
    <w:name w:val="List Table 1 Light - Accent 1"/>
    <w:basedOn w:val="1011"/>
    <w:uiPriority w:val="99"/>
    <w:pPr>
      <w:spacing w:after="0" w:line="240" w:lineRule="auto"/>
    </w:pPr>
    <w:tblPr>
      <w:tblStyleRowBandSize w:val="1"/>
      <w:tblStyleColBandSize w:val="1"/>
      <w:tblInd w:w="0" w:type="dxa"/>
    </w:tblPr>
    <w:tblStylePr w:type="band1Horz">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923">
    <w:name w:val="List Table 1 Light - Accent 2"/>
    <w:basedOn w:val="1011"/>
    <w:uiPriority w:val="99"/>
    <w:pPr>
      <w:spacing w:after="0" w:line="240" w:lineRule="auto"/>
    </w:pPr>
    <w:tblPr>
      <w:tblStyleRowBandSize w:val="1"/>
      <w:tblStyleColBandSize w:val="1"/>
      <w:tblInd w:w="0" w:type="dxa"/>
    </w:tblPr>
    <w:tblStylePr w:type="band1Horz">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924">
    <w:name w:val="List Table 1 Light - Accent 3"/>
    <w:basedOn w:val="1011"/>
    <w:uiPriority w:val="99"/>
    <w:pPr>
      <w:spacing w:after="0" w:line="240" w:lineRule="auto"/>
    </w:pPr>
    <w:tblPr>
      <w:tblStyleRowBandSize w:val="1"/>
      <w:tblStyleColBandSize w:val="1"/>
      <w:tblInd w:w="0" w:type="dxa"/>
    </w:tblPr>
    <w:tblStylePr w:type="band1Horz">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925">
    <w:name w:val="List Table 1 Light - Accent 4"/>
    <w:basedOn w:val="1011"/>
    <w:uiPriority w:val="99"/>
    <w:pPr>
      <w:spacing w:after="0" w:line="240" w:lineRule="auto"/>
    </w:pPr>
    <w:tblPr>
      <w:tblStyleRowBandSize w:val="1"/>
      <w:tblStyleColBandSize w:val="1"/>
      <w:tblInd w:w="0" w:type="dxa"/>
    </w:tblPr>
    <w:tblStylePr w:type="band1Horz">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926">
    <w:name w:val="List Table 1 Light - Accent 5"/>
    <w:basedOn w:val="1011"/>
    <w:uiPriority w:val="99"/>
    <w:pPr>
      <w:spacing w:after="0" w:line="240" w:lineRule="auto"/>
    </w:pPr>
    <w:tblPr>
      <w:tblStyleRowBandSize w:val="1"/>
      <w:tblStyleColBandSize w:val="1"/>
      <w:tblInd w:w="0" w:type="dxa"/>
    </w:tblPr>
    <w:tblStylePr w:type="band1Horz">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927">
    <w:name w:val="List Table 1 Light - Accent 6"/>
    <w:basedOn w:val="1011"/>
    <w:uiPriority w:val="99"/>
    <w:pPr>
      <w:spacing w:after="0" w:line="240" w:lineRule="auto"/>
    </w:pPr>
    <w:tblPr>
      <w:tblStyleRowBandSize w:val="1"/>
      <w:tblStyleColBandSize w:val="1"/>
      <w:tblInd w:w="0" w:type="dxa"/>
    </w:tblPr>
    <w:tblStylePr w:type="band1Horz">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928">
    <w:name w:val="List Table 2"/>
    <w:basedOn w:val="1011"/>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929">
    <w:name w:val="List Table 2 - Accent 1"/>
    <w:basedOn w:val="1011"/>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930">
    <w:name w:val="List Table 2 - Accent 2"/>
    <w:basedOn w:val="1011"/>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931">
    <w:name w:val="List Table 2 - Accent 3"/>
    <w:basedOn w:val="1011"/>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932">
    <w:name w:val="List Table 2 - Accent 4"/>
    <w:basedOn w:val="1011"/>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933">
    <w:name w:val="List Table 2 - Accent 5"/>
    <w:basedOn w:val="1011"/>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934">
    <w:name w:val="List Table 2 - Accent 6"/>
    <w:basedOn w:val="1011"/>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935">
    <w:name w:val="List Table 3"/>
    <w:basedOn w:val="101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36">
    <w:name w:val="List Table 3 - Accent 1"/>
    <w:basedOn w:val="1011"/>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37">
    <w:name w:val="List Table 3 - Accent 2"/>
    <w:basedOn w:val="1011"/>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d99694" w:themeFill="accent2" w:themeFillTint="97"/>
      </w:tcPr>
    </w:tblStylePr>
    <w:tblStylePr w:type="lastCol">
      <w:rPr>
        <w:b/>
        <w:color w:val="404040"/>
      </w:rPr>
    </w:tblStylePr>
    <w:tblStylePr w:type="lastRow">
      <w:rPr>
        <w:b/>
        <w:color w:val="404040"/>
      </w:rPr>
    </w:tblStylePr>
  </w:style>
  <w:style w:type="table" w:styleId="938">
    <w:name w:val="List Table 3 - Accent 3"/>
    <w:basedOn w:val="1011"/>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3d69b" w:themeFill="accent3" w:themeFillTint="98"/>
      </w:tcPr>
    </w:tblStylePr>
    <w:tblStylePr w:type="lastCol">
      <w:rPr>
        <w:b/>
        <w:color w:val="404040"/>
      </w:rPr>
    </w:tblStylePr>
    <w:tblStylePr w:type="lastRow">
      <w:rPr>
        <w:b/>
        <w:color w:val="404040"/>
      </w:rPr>
    </w:tblStylePr>
  </w:style>
  <w:style w:type="table" w:styleId="939">
    <w:name w:val="List Table 3 - Accent 4"/>
    <w:basedOn w:val="1011"/>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b2a1c6" w:themeFill="accent4" w:themeFillTint="9A"/>
      </w:tcPr>
    </w:tblStylePr>
    <w:tblStylePr w:type="lastCol">
      <w:rPr>
        <w:b/>
        <w:color w:val="404040"/>
      </w:rPr>
    </w:tblStylePr>
    <w:tblStylePr w:type="lastRow">
      <w:rPr>
        <w:b/>
        <w:color w:val="404040"/>
      </w:rPr>
    </w:tblStylePr>
  </w:style>
  <w:style w:type="table" w:styleId="940">
    <w:name w:val="List Table 3 - Accent 5"/>
    <w:basedOn w:val="1011"/>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91cddc" w:themeFill="accent5" w:themeFillTint="9A"/>
      </w:tcPr>
    </w:tblStylePr>
    <w:tblStylePr w:type="lastCol">
      <w:rPr>
        <w:b/>
        <w:color w:val="404040"/>
      </w:rPr>
    </w:tblStylePr>
    <w:tblStylePr w:type="lastRow">
      <w:rPr>
        <w:b/>
        <w:color w:val="404040"/>
      </w:rPr>
    </w:tblStylePr>
  </w:style>
  <w:style w:type="table" w:styleId="941">
    <w:name w:val="List Table 3 - Accent 6"/>
    <w:basedOn w:val="1011"/>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f9bf90" w:themeFill="accent6" w:themeFillTint="98"/>
      </w:tcPr>
    </w:tblStylePr>
    <w:tblStylePr w:type="lastCol">
      <w:rPr>
        <w:b/>
        <w:color w:val="404040"/>
      </w:rPr>
    </w:tblStylePr>
    <w:tblStylePr w:type="lastRow">
      <w:rPr>
        <w:b/>
        <w:color w:val="404040"/>
      </w:rPr>
    </w:tblStylePr>
  </w:style>
  <w:style w:type="table" w:styleId="942">
    <w:name w:val="List Table 4"/>
    <w:basedOn w:val="1011"/>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943">
    <w:name w:val="List Table 4 - Accent 1"/>
    <w:basedOn w:val="1011"/>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3e0ee" w:themeFill="accent1" w:themeFillTint="40"/>
      </w:tcPr>
    </w:tblStylePr>
    <w:tblStylePr w:type="band1Vert">
      <w:rPr>
        <w:rFonts w:ascii="Arial" w:hAnsi="Arial"/>
        <w:color w:val="404040"/>
        <w:sz w:val="22"/>
      </w:rPr>
      <w:tcPr>
        <w:shd w:val="clear" w:color="ffffff" w:themeColor="accent1" w:themeTint="40" w:fill="d3e0ee"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4f81bd" w:themeFill="accent1"/>
      </w:tcPr>
    </w:tblStylePr>
    <w:tblStylePr w:type="lastCol">
      <w:rPr>
        <w:b/>
        <w:color w:val="404040"/>
      </w:rPr>
    </w:tblStylePr>
    <w:tblStylePr w:type="lastRow">
      <w:rPr>
        <w:b/>
        <w:color w:val="404040"/>
      </w:rPr>
    </w:tblStylePr>
  </w:style>
  <w:style w:type="table" w:styleId="944">
    <w:name w:val="List Table 4 - Accent 2"/>
    <w:basedOn w:val="1011"/>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efd3d2" w:themeFill="accent2" w:themeFillTint="40"/>
      </w:tcPr>
    </w:tblStylePr>
    <w:tblStylePr w:type="band1Vert">
      <w:rPr>
        <w:rFonts w:ascii="Arial" w:hAnsi="Arial"/>
        <w:color w:val="404040"/>
        <w:sz w:val="22"/>
      </w:rPr>
      <w:tcPr>
        <w:shd w:val="clear" w:color="ffffff" w:themeColor="accent2" w:themeTint="40" w:fill="efd3d2"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c0504d" w:themeFill="accent2"/>
      </w:tcPr>
    </w:tblStylePr>
    <w:tblStylePr w:type="lastCol">
      <w:rPr>
        <w:b/>
        <w:color w:val="404040"/>
      </w:rPr>
    </w:tblStylePr>
    <w:tblStylePr w:type="lastRow">
      <w:rPr>
        <w:b/>
        <w:color w:val="404040"/>
      </w:rPr>
    </w:tblStylePr>
  </w:style>
  <w:style w:type="table" w:styleId="945">
    <w:name w:val="List Table 4 - Accent 3"/>
    <w:basedOn w:val="1011"/>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6eed5" w:themeFill="accent3" w:themeFillTint="40"/>
      </w:tcPr>
    </w:tblStylePr>
    <w:tblStylePr w:type="band1Vert">
      <w:rPr>
        <w:rFonts w:ascii="Arial" w:hAnsi="Arial"/>
        <w:color w:val="404040"/>
        <w:sz w:val="22"/>
      </w:rPr>
      <w:tcPr>
        <w:shd w:val="clear" w:color="ffffff" w:themeColor="accent3" w:themeTint="40" w:fill="e6eed5"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9bbb59" w:themeFill="accent3"/>
      </w:tcPr>
    </w:tblStylePr>
    <w:tblStylePr w:type="lastCol">
      <w:rPr>
        <w:b/>
        <w:color w:val="404040"/>
      </w:rPr>
    </w:tblStylePr>
    <w:tblStylePr w:type="lastRow">
      <w:rPr>
        <w:b/>
        <w:color w:val="404040"/>
      </w:rPr>
    </w:tblStylePr>
  </w:style>
  <w:style w:type="table" w:styleId="946">
    <w:name w:val="List Table 4 - Accent 4"/>
    <w:basedOn w:val="1011"/>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dfd8e7" w:themeFill="accent4" w:themeFillTint="40"/>
      </w:tcPr>
    </w:tblStylePr>
    <w:tblStylePr w:type="band1Vert">
      <w:rPr>
        <w:rFonts w:ascii="Arial" w:hAnsi="Arial"/>
        <w:color w:val="404040"/>
        <w:sz w:val="22"/>
      </w:rPr>
      <w:tcPr>
        <w:shd w:val="clear" w:color="ffffff" w:themeColor="accent4" w:themeTint="40" w:fill="dfd8e7"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8064a2" w:themeFill="accent4"/>
      </w:tcPr>
    </w:tblStylePr>
    <w:tblStylePr w:type="lastCol">
      <w:rPr>
        <w:b/>
        <w:color w:val="404040"/>
      </w:rPr>
    </w:tblStylePr>
    <w:tblStylePr w:type="lastRow">
      <w:rPr>
        <w:b/>
        <w:color w:val="404040"/>
      </w:rPr>
    </w:tblStylePr>
  </w:style>
  <w:style w:type="table" w:styleId="947">
    <w:name w:val="List Table 4 - Accent 5"/>
    <w:basedOn w:val="1011"/>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d1eaf0" w:themeFill="accent5" w:themeFillTint="40"/>
      </w:tcPr>
    </w:tblStylePr>
    <w:tblStylePr w:type="band1Vert">
      <w:rPr>
        <w:rFonts w:ascii="Arial" w:hAnsi="Arial"/>
        <w:color w:val="404040"/>
        <w:sz w:val="22"/>
      </w:rPr>
      <w:tcPr>
        <w:shd w:val="clear" w:color="ffffff" w:themeColor="accent5" w:themeTint="40" w:fill="d1ea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bacc6" w:themeFill="accent5"/>
      </w:tcPr>
    </w:tblStylePr>
    <w:tblStylePr w:type="lastCol">
      <w:rPr>
        <w:b/>
        <w:color w:val="404040"/>
      </w:rPr>
    </w:tblStylePr>
    <w:tblStylePr w:type="lastRow">
      <w:rPr>
        <w:b/>
        <w:color w:val="404040"/>
      </w:rPr>
    </w:tblStylePr>
  </w:style>
  <w:style w:type="table" w:styleId="948">
    <w:name w:val="List Table 4 - Accent 6"/>
    <w:basedOn w:val="1011"/>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fce4d1" w:themeFill="accent6" w:themeFillTint="40"/>
      </w:tcPr>
    </w:tblStylePr>
    <w:tblStylePr w:type="band1Vert">
      <w:rPr>
        <w:rFonts w:ascii="Arial" w:hAnsi="Arial"/>
        <w:color w:val="404040"/>
        <w:sz w:val="22"/>
      </w:rPr>
      <w:tcPr>
        <w:shd w:val="clear" w:color="ffffff" w:themeColor="accent6" w:themeTint="40" w:fill="fce4d1"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f79646" w:themeFill="accent6"/>
      </w:tcPr>
    </w:tblStylePr>
    <w:tblStylePr w:type="lastCol">
      <w:rPr>
        <w:b/>
        <w:color w:val="404040"/>
      </w:rPr>
    </w:tblStylePr>
    <w:tblStylePr w:type="lastRow">
      <w:rPr>
        <w:b/>
        <w:color w:val="404040"/>
      </w:rPr>
    </w:tblStylePr>
  </w:style>
  <w:style w:type="table" w:styleId="949">
    <w:name w:val="List Table 5 Dark"/>
    <w:basedOn w:val="1011"/>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0">
    <w:name w:val="List Table 5 Dark - Accent 1"/>
    <w:basedOn w:val="1011"/>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blStylePr w:type="band1Horz">
      <w:tcPr>
        <w:shd w:val="clear" w:color="ffffff" w:themeColor="accent1" w:fill="4f81bd" w:themeFill="accent1"/>
        <w:tcBorders>
          <w:top w:val="single" w:color="000000" w:themeColor="light1" w:sz="4" w:space="0"/>
          <w:bottom w:val="single" w:color="000000" w:themeColor="light1" w:sz="4" w:space="0"/>
        </w:tcBorders>
      </w:tcPr>
    </w:tblStylePr>
    <w:tblStylePr w:type="band1Vert">
      <w:tcPr>
        <w:shd w:val="clear" w:color="ffffff" w:themeColor="accent1" w:fill="4f81bd" w:themeFill="accent1"/>
        <w:tcBorders>
          <w:left w:val="single" w:color="000000" w:themeColor="light1" w:sz="4" w:space="0"/>
          <w:right w:val="single" w:color="000000" w:themeColor="light1" w:sz="4" w:space="0"/>
        </w:tcBorders>
      </w:tcPr>
    </w:tblStylePr>
    <w:tblStylePr w:type="band2Horz">
      <w:tcPr>
        <w:shd w:val="clear" w:color="ffffff" w:themeColor="accent1" w:fill="4f81bd"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4f81bd"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1">
    <w:name w:val="List Table 5 Dark - Accent 2"/>
    <w:basedOn w:val="1011"/>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99694" w:themeFill="accent2" w:themeFillTint="97"/>
    </w:tblPr>
    <w:tblStylePr w:type="band1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d99694"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d99694"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d99694"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2">
    <w:name w:val="List Table 5 Dark - Accent 3"/>
    <w:basedOn w:val="1011"/>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b" w:themeFill="accent3" w:themeFillTint="98"/>
    </w:tblPr>
    <w:tblStylePr w:type="band1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3d69b"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3d69b"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3d69b"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3">
    <w:name w:val="List Table 5 Dark - Accent 4"/>
    <w:basedOn w:val="1011"/>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6" w:themeFill="accent4" w:themeFillTint="9A"/>
    </w:tblPr>
    <w:tblStylePr w:type="band1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b2a1c6"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b2a1c6"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b2a1c6"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4">
    <w:name w:val="List Table 5 Dark - Accent 5"/>
    <w:basedOn w:val="1011"/>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1cddc" w:themeFill="accent5" w:themeFillTint="9A"/>
    </w:tblPr>
    <w:tblStylePr w:type="band1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91cddc"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91cddc"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91cddc"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5">
    <w:name w:val="List Table 5 Dark - Accent 6"/>
    <w:basedOn w:val="1011"/>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9bf90" w:themeFill="accent6" w:themeFillTint="98"/>
    </w:tblPr>
    <w:tblStylePr w:type="band1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f9bf90"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f9bf90"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f9bf90"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956">
    <w:name w:val="List Table 6 Colorful"/>
    <w:basedOn w:val="1011"/>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957">
    <w:name w:val="List Table 6 Colorful - Accent 1"/>
    <w:basedOn w:val="1011"/>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404040" w:themeColor="accent1" w:themeShade="95"/>
        <w:sz w:val="22"/>
      </w:rPr>
    </w:tblStylePr>
    <w:tblStylePr w:type="firstCol">
      <w:rPr>
        <w:b/>
        <w:color w:val="2a4b71" w:themeColor="accent1" w:themeShade="95"/>
      </w:rPr>
    </w:tblStylePr>
    <w:tblStylePr w:type="firstRow">
      <w:rPr>
        <w:b/>
        <w:color w:val="2a4b71" w:themeColor="accent1" w:themeShade="95"/>
      </w:rPr>
      <w:tcPr>
        <w:tcBorders>
          <w:bottom w:val="single" w:color="000000" w:themeColor="accent1" w:sz="4" w:space="0"/>
        </w:tcBorders>
      </w:tcPr>
    </w:tblStylePr>
    <w:tblStylePr w:type="lastCol">
      <w:rPr>
        <w:b/>
        <w:color w:val="2a4b71" w:themeColor="accent1" w:themeShade="95"/>
      </w:rPr>
    </w:tblStylePr>
    <w:tblStylePr w:type="lastRow">
      <w:rPr>
        <w:b/>
        <w:color w:val="2a4b71" w:themeColor="accent1" w:themeShade="95"/>
      </w:rPr>
      <w:tcPr>
        <w:tcBorders>
          <w:top w:val="single" w:color="000000" w:themeColor="accent1" w:sz="4" w:space="0"/>
        </w:tcBorders>
      </w:tcPr>
    </w:tblStylePr>
  </w:style>
  <w:style w:type="table" w:styleId="958">
    <w:name w:val="List Table 6 Colorful - Accent 2"/>
    <w:basedOn w:val="1011"/>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404040" w:themeColor="accent2" w:themeTint="97" w:themeShade="95"/>
        <w:sz w:val="22"/>
      </w:rPr>
    </w:tblStylePr>
    <w:tblStylePr w:type="firstCol">
      <w:rPr>
        <w:b/>
        <w:color w:val="9c3a37" w:themeColor="accent2" w:themeTint="97" w:themeShade="95"/>
      </w:rPr>
    </w:tblStylePr>
    <w:tblStylePr w:type="firstRow">
      <w:rPr>
        <w:b/>
        <w:color w:val="9c3a37" w:themeColor="accent2" w:themeTint="97" w:themeShade="95"/>
      </w:rPr>
      <w:tcPr>
        <w:tcBorders>
          <w:bottom w:val="single" w:color="000000" w:themeColor="accent2" w:themeTint="97" w:sz="4" w:space="0"/>
        </w:tcBorders>
      </w:tcPr>
    </w:tblStylePr>
    <w:tblStylePr w:type="lastCol">
      <w:rPr>
        <w:b/>
        <w:color w:val="9c3a37" w:themeColor="accent2" w:themeTint="97" w:themeShade="95"/>
      </w:rPr>
    </w:tblStylePr>
    <w:tblStylePr w:type="lastRow">
      <w:rPr>
        <w:b/>
        <w:color w:val="9c3a37" w:themeColor="accent2" w:themeTint="97" w:themeShade="95"/>
      </w:rPr>
      <w:tcPr>
        <w:tcBorders>
          <w:top w:val="single" w:color="000000" w:themeColor="accent2" w:themeTint="97" w:sz="4" w:space="0"/>
        </w:tcBorders>
      </w:tcPr>
    </w:tblStylePr>
  </w:style>
  <w:style w:type="table" w:styleId="959">
    <w:name w:val="List Table 6 Colorful - Accent 3"/>
    <w:basedOn w:val="1011"/>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404040" w:themeColor="accent3" w:themeTint="98" w:themeShade="95"/>
        <w:sz w:val="22"/>
      </w:rPr>
    </w:tblStylePr>
    <w:tblStylePr w:type="firstCol">
      <w:rPr>
        <w:b/>
        <w:color w:val="7c983f" w:themeColor="accent3" w:themeTint="98" w:themeShade="95"/>
      </w:rPr>
    </w:tblStylePr>
    <w:tblStylePr w:type="firstRow">
      <w:rPr>
        <w:b/>
        <w:color w:val="7c983f" w:themeColor="accent3" w:themeTint="98" w:themeShade="95"/>
      </w:rPr>
      <w:tcPr>
        <w:tcBorders>
          <w:bottom w:val="single" w:color="000000" w:themeColor="accent3" w:themeTint="98" w:sz="4" w:space="0"/>
        </w:tcBorders>
      </w:tcPr>
    </w:tblStylePr>
    <w:tblStylePr w:type="lastCol">
      <w:rPr>
        <w:b/>
        <w:color w:val="7c983f" w:themeColor="accent3" w:themeTint="98" w:themeShade="95"/>
      </w:rPr>
    </w:tblStylePr>
    <w:tblStylePr w:type="lastRow">
      <w:rPr>
        <w:b/>
        <w:color w:val="7c983f" w:themeColor="accent3" w:themeTint="98" w:themeShade="95"/>
      </w:rPr>
      <w:tcPr>
        <w:tcBorders>
          <w:top w:val="single" w:color="000000" w:themeColor="accent3" w:themeTint="98" w:sz="4" w:space="0"/>
        </w:tcBorders>
      </w:tcPr>
    </w:tblStylePr>
  </w:style>
  <w:style w:type="table" w:styleId="960">
    <w:name w:val="List Table 6 Colorful - Accent 4"/>
    <w:basedOn w:val="1011"/>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404040" w:themeColor="accent4" w:themeTint="9A" w:themeShade="95"/>
        <w:sz w:val="22"/>
      </w:rPr>
    </w:tblStylePr>
    <w:tblStylePr w:type="firstCol">
      <w:rPr>
        <w:b/>
        <w:color w:val="664f82" w:themeColor="accent4" w:themeTint="9A" w:themeShade="95"/>
      </w:rPr>
    </w:tblStylePr>
    <w:tblStylePr w:type="firstRow">
      <w:rPr>
        <w:b/>
        <w:color w:val="664f82" w:themeColor="accent4" w:themeTint="9A" w:themeShade="95"/>
      </w:rPr>
      <w:tcPr>
        <w:tcBorders>
          <w:bottom w:val="single" w:color="000000" w:themeColor="accent4" w:themeTint="9A" w:sz="4" w:space="0"/>
        </w:tcBorders>
      </w:tcPr>
    </w:tblStylePr>
    <w:tblStylePr w:type="lastCol">
      <w:rPr>
        <w:b/>
        <w:color w:val="664f82" w:themeColor="accent4" w:themeTint="9A" w:themeShade="95"/>
      </w:rPr>
    </w:tblStylePr>
    <w:tblStylePr w:type="lastRow">
      <w:rPr>
        <w:b/>
        <w:color w:val="664f82" w:themeColor="accent4" w:themeTint="9A" w:themeShade="95"/>
      </w:rPr>
      <w:tcPr>
        <w:tcBorders>
          <w:top w:val="single" w:color="000000" w:themeColor="accent4" w:themeTint="9A" w:sz="4" w:space="0"/>
        </w:tcBorders>
      </w:tcPr>
    </w:tblStylePr>
  </w:style>
  <w:style w:type="table" w:styleId="961">
    <w:name w:val="List Table 6 Colorful - Accent 5"/>
    <w:basedOn w:val="1011"/>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404040" w:themeColor="accent5" w:themeTint="9A" w:themeShade="95"/>
        <w:sz w:val="22"/>
      </w:rPr>
    </w:tblStylePr>
    <w:tblStylePr w:type="firstCol">
      <w:rPr>
        <w:b/>
        <w:color w:val="338aa0" w:themeColor="accent5" w:themeTint="9A" w:themeShade="95"/>
      </w:rPr>
    </w:tblStylePr>
    <w:tblStylePr w:type="firstRow">
      <w:rPr>
        <w:b/>
        <w:color w:val="338aa0" w:themeColor="accent5" w:themeTint="9A" w:themeShade="95"/>
      </w:rPr>
      <w:tcPr>
        <w:tcBorders>
          <w:bottom w:val="single" w:color="000000" w:themeColor="accent5" w:themeTint="9A" w:sz="4" w:space="0"/>
        </w:tcBorders>
      </w:tcPr>
    </w:tblStylePr>
    <w:tblStylePr w:type="lastCol">
      <w:rPr>
        <w:b/>
        <w:color w:val="338aa0" w:themeColor="accent5" w:themeTint="9A" w:themeShade="95"/>
      </w:rPr>
    </w:tblStylePr>
    <w:tblStylePr w:type="lastRow">
      <w:rPr>
        <w:b/>
        <w:color w:val="338aa0" w:themeColor="accent5" w:themeTint="9A" w:themeShade="95"/>
      </w:rPr>
      <w:tcPr>
        <w:tcBorders>
          <w:top w:val="single" w:color="000000" w:themeColor="accent5" w:themeTint="9A" w:sz="4" w:space="0"/>
        </w:tcBorders>
      </w:tcPr>
    </w:tblStylePr>
  </w:style>
  <w:style w:type="table" w:styleId="962">
    <w:name w:val="List Table 6 Colorful - Accent 6"/>
    <w:basedOn w:val="1011"/>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404040" w:themeColor="accent6" w:themeTint="98" w:themeShade="95"/>
        <w:sz w:val="22"/>
      </w:rPr>
    </w:tblStylePr>
    <w:tblStylePr w:type="firstCol">
      <w:rPr>
        <w:b/>
        <w:color w:val="d9680c" w:themeColor="accent6" w:themeTint="98" w:themeShade="95"/>
      </w:rPr>
    </w:tblStylePr>
    <w:tblStylePr w:type="firstRow">
      <w:rPr>
        <w:b/>
        <w:color w:val="d9680c" w:themeColor="accent6" w:themeTint="98" w:themeShade="95"/>
      </w:rPr>
      <w:tcPr>
        <w:tcBorders>
          <w:bottom w:val="single" w:color="000000" w:themeColor="accent6" w:themeTint="98" w:sz="4" w:space="0"/>
        </w:tcBorders>
      </w:tcPr>
    </w:tblStylePr>
    <w:tblStylePr w:type="lastCol">
      <w:rPr>
        <w:b/>
        <w:color w:val="d9680c" w:themeColor="accent6" w:themeTint="98" w:themeShade="95"/>
      </w:rPr>
    </w:tblStylePr>
    <w:tblStylePr w:type="lastRow">
      <w:rPr>
        <w:b/>
        <w:color w:val="d9680c" w:themeColor="accent6" w:themeTint="98" w:themeShade="95"/>
      </w:rPr>
      <w:tcPr>
        <w:tcBorders>
          <w:top w:val="single" w:color="000000" w:themeColor="accent6" w:themeTint="98" w:sz="4" w:space="0"/>
        </w:tcBorders>
      </w:tcPr>
    </w:tblStylePr>
  </w:style>
  <w:style w:type="table" w:styleId="963">
    <w:name w:val="List Table 7 Colorful"/>
    <w:basedOn w:val="1011"/>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val="clear"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val="clear"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64">
    <w:name w:val="List Table 7 Colorful - Accent 1"/>
    <w:basedOn w:val="1011"/>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a4b71" w:themeColor="accent1" w:themeShade="95"/>
        <w:sz w:val="22"/>
      </w:rPr>
      <w:tcPr>
        <w:shd w:val="clear" w:color="ffffff" w:themeColor="accent1" w:themeTint="40" w:fill="d3e0ee" w:themeFill="accent1" w:themeFillTint="40"/>
      </w:tcPr>
    </w:tblStylePr>
    <w:tblStylePr w:type="band1Vert">
      <w:tcPr>
        <w:shd w:val="clear" w:color="ffffff" w:themeColor="accent1" w:themeTint="40" w:fill="d3e0ee" w:themeFill="accent1" w:themeFillTint="40"/>
      </w:tcPr>
    </w:tblStylePr>
    <w:tblStylePr w:type="band2Horz">
      <w:rPr>
        <w:rFonts w:ascii="Arial" w:hAnsi="Arial"/>
        <w:color w:val="2a4b71" w:themeColor="accent1" w:themeShade="95"/>
        <w:sz w:val="22"/>
      </w:rPr>
    </w:tblStylePr>
    <w:tblStylePr w:type="firstCol">
      <w:rPr>
        <w:rFonts w:ascii="Arial" w:hAnsi="Arial"/>
        <w:i/>
        <w:color w:val="2a4b71" w:themeColor="accent1" w:themeShade="95"/>
        <w:sz w:val="22"/>
      </w:rPr>
      <w:pPr>
        <w:jc w:val="right"/>
      </w:pPr>
      <w:tcPr>
        <w:shd w:val="clear"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a4b71"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a4b71" w:themeColor="accent1" w:themeShade="95"/>
        <w:sz w:val="22"/>
      </w:rPr>
      <w:tcPr>
        <w:shd w:val="clear"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a4b71"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a4b71" w:themeColor="accent1" w:themeShade="95"/>
        <w:sz w:val="22"/>
      </w:rPr>
    </w:tblStylePr>
  </w:style>
  <w:style w:type="table" w:styleId="965">
    <w:name w:val="List Table 7 Colorful - Accent 2"/>
    <w:basedOn w:val="1011"/>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9c3a37" w:themeColor="accent2" w:themeTint="97" w:themeShade="95"/>
        <w:sz w:val="22"/>
      </w:rPr>
      <w:tcPr>
        <w:shd w:val="clear" w:color="ffffff" w:themeColor="accent2" w:themeTint="40" w:fill="efd3d2" w:themeFill="accent2" w:themeFillTint="40"/>
      </w:tcPr>
    </w:tblStylePr>
    <w:tblStylePr w:type="band1Vert">
      <w:tcPr>
        <w:shd w:val="clear" w:color="ffffff" w:themeColor="accent2" w:themeTint="40" w:fill="efd3d2" w:themeFill="accent2" w:themeFillTint="40"/>
      </w:tcPr>
    </w:tblStylePr>
    <w:tblStylePr w:type="band2Horz">
      <w:rPr>
        <w:rFonts w:ascii="Arial" w:hAnsi="Arial"/>
        <w:color w:val="9c3a37" w:themeColor="accent2" w:themeTint="97" w:themeShade="95"/>
        <w:sz w:val="22"/>
      </w:rPr>
    </w:tblStylePr>
    <w:tblStylePr w:type="firstCol">
      <w:rPr>
        <w:rFonts w:ascii="Arial" w:hAnsi="Arial"/>
        <w:i/>
        <w:color w:val="9c3a37" w:themeColor="accent2" w:themeTint="97" w:themeShade="95"/>
        <w:sz w:val="22"/>
      </w:rPr>
      <w:pPr>
        <w:jc w:val="right"/>
      </w:pPr>
      <w:tcPr>
        <w:shd w:val="clear"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9c3a37"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9c3a37" w:themeColor="accent2" w:themeTint="97" w:themeShade="95"/>
        <w:sz w:val="22"/>
      </w:rPr>
      <w:tcPr>
        <w:shd w:val="clear"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9c3a37"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9c3a37" w:themeColor="accent2" w:themeTint="97" w:themeShade="95"/>
        <w:sz w:val="22"/>
      </w:rPr>
    </w:tblStylePr>
  </w:style>
  <w:style w:type="table" w:styleId="966">
    <w:name w:val="List Table 7 Colorful - Accent 3"/>
    <w:basedOn w:val="1011"/>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c983f" w:themeColor="accent3" w:themeTint="98" w:themeShade="95"/>
        <w:sz w:val="22"/>
      </w:rPr>
      <w:tcPr>
        <w:shd w:val="clear" w:color="ffffff" w:themeColor="accent3" w:themeTint="40" w:fill="e6eed5" w:themeFill="accent3" w:themeFillTint="40"/>
      </w:tcPr>
    </w:tblStylePr>
    <w:tblStylePr w:type="band1Vert">
      <w:tcPr>
        <w:shd w:val="clear" w:color="ffffff" w:themeColor="accent3" w:themeTint="40" w:fill="e6eed5" w:themeFill="accent3" w:themeFillTint="40"/>
      </w:tcPr>
    </w:tblStylePr>
    <w:tblStylePr w:type="band2Horz">
      <w:rPr>
        <w:rFonts w:ascii="Arial" w:hAnsi="Arial"/>
        <w:color w:val="7c983f" w:themeColor="accent3" w:themeTint="98" w:themeShade="95"/>
        <w:sz w:val="22"/>
      </w:rPr>
    </w:tblStylePr>
    <w:tblStylePr w:type="firstCol">
      <w:rPr>
        <w:rFonts w:ascii="Arial" w:hAnsi="Arial"/>
        <w:i/>
        <w:color w:val="7c983f" w:themeColor="accent3"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c983f"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c983f" w:themeColor="accent3" w:themeTint="98" w:themeShade="95"/>
        <w:sz w:val="22"/>
      </w:rPr>
      <w:tcPr>
        <w:shd w:val="clear"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c983f"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c983f" w:themeColor="accent3" w:themeTint="98" w:themeShade="95"/>
        <w:sz w:val="22"/>
      </w:rPr>
    </w:tblStylePr>
  </w:style>
  <w:style w:type="table" w:styleId="967">
    <w:name w:val="List Table 7 Colorful - Accent 4"/>
    <w:basedOn w:val="1011"/>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664f82" w:themeColor="accent4" w:themeTint="9A" w:themeShade="95"/>
        <w:sz w:val="22"/>
      </w:rPr>
      <w:tcPr>
        <w:shd w:val="clear" w:color="ffffff" w:themeColor="accent4" w:themeTint="40" w:fill="dfd8e7" w:themeFill="accent4" w:themeFillTint="40"/>
      </w:tcPr>
    </w:tblStylePr>
    <w:tblStylePr w:type="band1Vert">
      <w:tcPr>
        <w:shd w:val="clear" w:color="ffffff" w:themeColor="accent4" w:themeTint="40" w:fill="dfd8e7" w:themeFill="accent4" w:themeFillTint="40"/>
      </w:tcPr>
    </w:tblStylePr>
    <w:tblStylePr w:type="band2Horz">
      <w:rPr>
        <w:rFonts w:ascii="Arial" w:hAnsi="Arial"/>
        <w:color w:val="664f82" w:themeColor="accent4" w:themeTint="9A" w:themeShade="95"/>
        <w:sz w:val="22"/>
      </w:rPr>
    </w:tblStylePr>
    <w:tblStylePr w:type="firstCol">
      <w:rPr>
        <w:rFonts w:ascii="Arial" w:hAnsi="Arial"/>
        <w:i/>
        <w:color w:val="664f82" w:themeColor="accent4"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664f82"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664f82" w:themeColor="accent4" w:themeTint="9A" w:themeShade="95"/>
        <w:sz w:val="22"/>
      </w:rPr>
      <w:tcPr>
        <w:shd w:val="clear"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664f82"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664f82" w:themeColor="accent4" w:themeTint="9A" w:themeShade="95"/>
        <w:sz w:val="22"/>
      </w:rPr>
    </w:tblStylePr>
  </w:style>
  <w:style w:type="table" w:styleId="968">
    <w:name w:val="List Table 7 Colorful - Accent 5"/>
    <w:basedOn w:val="1011"/>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8aa0" w:themeColor="accent5" w:themeTint="9A" w:themeShade="95"/>
        <w:sz w:val="22"/>
      </w:rPr>
      <w:tcPr>
        <w:shd w:val="clear" w:color="ffffff" w:themeColor="accent5" w:themeTint="40" w:fill="d1eaf0" w:themeFill="accent5" w:themeFillTint="40"/>
      </w:tcPr>
    </w:tblStylePr>
    <w:tblStylePr w:type="band1Vert">
      <w:tcPr>
        <w:shd w:val="clear" w:color="ffffff" w:themeColor="accent5" w:themeTint="40" w:fill="d1eaf0" w:themeFill="accent5" w:themeFillTint="40"/>
      </w:tcPr>
    </w:tblStylePr>
    <w:tblStylePr w:type="band2Horz">
      <w:rPr>
        <w:rFonts w:ascii="Arial" w:hAnsi="Arial"/>
        <w:color w:val="338aa0" w:themeColor="accent5" w:themeTint="9A" w:themeShade="95"/>
        <w:sz w:val="22"/>
      </w:rPr>
    </w:tblStylePr>
    <w:tblStylePr w:type="firstCol">
      <w:rPr>
        <w:rFonts w:ascii="Arial" w:hAnsi="Arial"/>
        <w:i/>
        <w:color w:val="338aa0" w:themeColor="accent5" w:themeTint="9A" w:themeShade="95"/>
        <w:sz w:val="22"/>
      </w:rPr>
      <w:pPr>
        <w:jc w:val="right"/>
      </w:pPr>
      <w:tcPr>
        <w:shd w:val="clear"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8aa0"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8aa0" w:themeColor="accent5" w:themeTint="9A" w:themeShade="95"/>
        <w:sz w:val="22"/>
      </w:rPr>
      <w:tcPr>
        <w:shd w:val="clear"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8aa0"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8aa0" w:themeColor="accent5" w:themeTint="9A" w:themeShade="95"/>
        <w:sz w:val="22"/>
      </w:rPr>
    </w:tblStylePr>
  </w:style>
  <w:style w:type="table" w:styleId="969">
    <w:name w:val="List Table 7 Colorful - Accent 6"/>
    <w:basedOn w:val="1011"/>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d9680c" w:themeColor="accent6" w:themeTint="98" w:themeShade="95"/>
        <w:sz w:val="22"/>
      </w:rPr>
      <w:tcPr>
        <w:shd w:val="clear" w:color="ffffff" w:themeColor="accent6" w:themeTint="40" w:fill="fce4d1" w:themeFill="accent6" w:themeFillTint="40"/>
      </w:tcPr>
    </w:tblStylePr>
    <w:tblStylePr w:type="band1Vert">
      <w:tcPr>
        <w:shd w:val="clear" w:color="ffffff" w:themeColor="accent6" w:themeTint="40" w:fill="fce4d1" w:themeFill="accent6" w:themeFillTint="40"/>
      </w:tcPr>
    </w:tblStylePr>
    <w:tblStylePr w:type="band2Horz">
      <w:rPr>
        <w:rFonts w:ascii="Arial" w:hAnsi="Arial"/>
        <w:color w:val="d9680c" w:themeColor="accent6" w:themeTint="98" w:themeShade="95"/>
        <w:sz w:val="22"/>
      </w:rPr>
    </w:tblStylePr>
    <w:tblStylePr w:type="firstCol">
      <w:rPr>
        <w:rFonts w:ascii="Arial" w:hAnsi="Arial"/>
        <w:i/>
        <w:color w:val="d9680c" w:themeColor="accent6" w:themeTint="98" w:themeShade="95"/>
        <w:sz w:val="22"/>
      </w:rPr>
      <w:pPr>
        <w:jc w:val="right"/>
      </w:pPr>
      <w:tcPr>
        <w:shd w:val="clear"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d9680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d9680c" w:themeColor="accent6" w:themeTint="98" w:themeShade="95"/>
        <w:sz w:val="22"/>
      </w:rPr>
      <w:tcPr>
        <w:shd w:val="clear"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d9680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d9680c" w:themeColor="accent6" w:themeTint="98" w:themeShade="95"/>
        <w:sz w:val="22"/>
      </w:rPr>
    </w:tblStylePr>
  </w:style>
  <w:style w:type="table" w:styleId="970">
    <w:name w:val="Lined - Accent"/>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71">
    <w:name w:val="Lined - Accent 1"/>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972">
    <w:name w:val="Lined - Accent 2"/>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973">
    <w:name w:val="Lined - Accent 3"/>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974">
    <w:name w:val="Lined - Accent 4"/>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975">
    <w:name w:val="Lined - Accent 5"/>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976">
    <w:name w:val="Lined - Accent 6"/>
    <w:basedOn w:val="1011"/>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977">
    <w:name w:val="Bordered &amp; Lined - Accent"/>
    <w:basedOn w:val="1011"/>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78">
    <w:name w:val="Bordered &amp; Lined - Accent 1"/>
    <w:basedOn w:val="1011"/>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7d7ea" w:themeFill="accent1" w:themeFillTint="50"/>
      </w:tcPr>
    </w:tblStylePr>
    <w:tblStylePr w:type="band2Vert">
      <w:rPr>
        <w:rFonts w:ascii="Arial" w:hAnsi="Arial"/>
        <w:color w:val="404040"/>
        <w:sz w:val="22"/>
      </w:rPr>
      <w:tcPr>
        <w:shd w:val="clear" w:color="ffffff" w:themeColor="accent1" w:themeTint="50" w:fill="c7d7ea" w:themeFill="accent1" w:themeFillTint="50"/>
      </w:tcPr>
    </w:tblStylePr>
    <w:tblStylePr w:type="firstCol">
      <w:rPr>
        <w:rFonts w:ascii="Arial" w:hAnsi="Arial"/>
        <w:color w:val="f2f2f2"/>
        <w:sz w:val="22"/>
      </w:rPr>
      <w:tcPr>
        <w:shd w:val="clear" w:color="ffffff" w:themeColor="accent1" w:themeTint="EA" w:fill="5d8dc2" w:themeFill="accent1" w:themeFillTint="EA"/>
      </w:tcPr>
    </w:tblStylePr>
    <w:tblStylePr w:type="firstRow">
      <w:rPr>
        <w:rFonts w:ascii="Arial" w:hAnsi="Arial"/>
        <w:color w:val="f2f2f2"/>
        <w:sz w:val="22"/>
      </w:rPr>
      <w:tcPr>
        <w:shd w:val="clear" w:color="ffffff" w:themeColor="accent1" w:themeTint="EA" w:fill="5d8dc2" w:themeFill="accent1" w:themeFillTint="EA"/>
      </w:tcPr>
    </w:tblStylePr>
    <w:tblStylePr w:type="lastCol">
      <w:rPr>
        <w:rFonts w:ascii="Arial" w:hAnsi="Arial"/>
        <w:color w:val="f2f2f2"/>
        <w:sz w:val="22"/>
      </w:rPr>
      <w:tcPr>
        <w:shd w:val="clear" w:color="ffffff" w:themeColor="accent1" w:themeTint="EA" w:fill="5d8dc2" w:themeFill="accent1" w:themeFillTint="EA"/>
      </w:tcPr>
    </w:tblStylePr>
    <w:tblStylePr w:type="lastRow">
      <w:rPr>
        <w:rFonts w:ascii="Arial" w:hAnsi="Arial"/>
        <w:color w:val="f2f2f2"/>
        <w:sz w:val="22"/>
      </w:rPr>
      <w:tcPr>
        <w:shd w:val="clear" w:color="ffffff" w:themeColor="accent1" w:themeTint="EA" w:fill="5d8dc2" w:themeFill="accent1" w:themeFillTint="EA"/>
      </w:tcPr>
    </w:tblStylePr>
  </w:style>
  <w:style w:type="table" w:styleId="979">
    <w:name w:val="Bordered &amp; Lined - Accent 2"/>
    <w:basedOn w:val="1011"/>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2dcdb" w:themeFill="accent2" w:themeFillTint="32"/>
      </w:tcPr>
    </w:tblStylePr>
    <w:tblStylePr w:type="band2Vert">
      <w:rPr>
        <w:rFonts w:ascii="Arial" w:hAnsi="Arial"/>
        <w:color w:val="404040"/>
        <w:sz w:val="22"/>
      </w:rPr>
      <w:tcPr>
        <w:shd w:val="clear" w:color="ffffff" w:themeColor="accent2" w:themeTint="32" w:fill="f2dcdb" w:themeFill="accent2" w:themeFillTint="32"/>
      </w:tcPr>
    </w:tblStylePr>
    <w:tblStylePr w:type="firstCol">
      <w:rPr>
        <w:rFonts w:ascii="Arial" w:hAnsi="Arial"/>
        <w:color w:val="f2f2f2"/>
        <w:sz w:val="22"/>
      </w:rPr>
      <w:tcPr>
        <w:shd w:val="clear" w:color="ffffff" w:themeColor="accent2" w:themeTint="97" w:fill="d99694" w:themeFill="accent2" w:themeFillTint="97"/>
      </w:tcPr>
    </w:tblStylePr>
    <w:tblStylePr w:type="firstRow">
      <w:rPr>
        <w:rFonts w:ascii="Arial" w:hAnsi="Arial"/>
        <w:color w:val="f2f2f2"/>
        <w:sz w:val="22"/>
      </w:rPr>
      <w:tcPr>
        <w:shd w:val="clear" w:color="ffffff" w:themeColor="accent2" w:themeTint="97" w:fill="d99694" w:themeFill="accent2" w:themeFillTint="97"/>
      </w:tcPr>
    </w:tblStylePr>
    <w:tblStylePr w:type="lastCol">
      <w:rPr>
        <w:rFonts w:ascii="Arial" w:hAnsi="Arial"/>
        <w:color w:val="f2f2f2"/>
        <w:sz w:val="22"/>
      </w:rPr>
      <w:tcPr>
        <w:shd w:val="clear" w:color="ffffff" w:themeColor="accent2" w:themeTint="97" w:fill="d99694" w:themeFill="accent2" w:themeFillTint="97"/>
      </w:tcPr>
    </w:tblStylePr>
    <w:tblStylePr w:type="lastRow">
      <w:rPr>
        <w:rFonts w:ascii="Arial" w:hAnsi="Arial"/>
        <w:color w:val="f2f2f2"/>
        <w:sz w:val="22"/>
      </w:rPr>
      <w:tcPr>
        <w:shd w:val="clear" w:color="ffffff" w:themeColor="accent2" w:themeTint="97" w:fill="d99694" w:themeFill="accent2" w:themeFillTint="97"/>
      </w:tcPr>
    </w:tblStylePr>
  </w:style>
  <w:style w:type="table" w:styleId="980">
    <w:name w:val="Bordered &amp; Lined - Accent 3"/>
    <w:basedOn w:val="1011"/>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af0dd" w:themeFill="accent3" w:themeFillTint="34"/>
      </w:tcPr>
    </w:tblStylePr>
    <w:tblStylePr w:type="band2Vert">
      <w:rPr>
        <w:rFonts w:ascii="Arial" w:hAnsi="Arial"/>
        <w:color w:val="404040"/>
        <w:sz w:val="22"/>
      </w:rPr>
      <w:tcPr>
        <w:shd w:val="clear" w:color="ffffff" w:themeColor="accent3" w:themeTint="34" w:fill="eaf0dd" w:themeFill="accent3" w:themeFillTint="34"/>
      </w:tcPr>
    </w:tblStylePr>
    <w:tblStylePr w:type="firstCol">
      <w:rPr>
        <w:rFonts w:ascii="Arial" w:hAnsi="Arial"/>
        <w:color w:val="f2f2f2"/>
        <w:sz w:val="22"/>
      </w:rPr>
      <w:tcPr>
        <w:shd w:val="clear" w:color="ffffff" w:themeColor="accent3" w:themeTint="FE" w:fill="9bba59" w:themeFill="accent3" w:themeFillTint="FE"/>
      </w:tcPr>
    </w:tblStylePr>
    <w:tblStylePr w:type="firstRow">
      <w:rPr>
        <w:rFonts w:ascii="Arial" w:hAnsi="Arial"/>
        <w:color w:val="f2f2f2"/>
        <w:sz w:val="22"/>
      </w:rPr>
      <w:tcPr>
        <w:shd w:val="clear" w:color="ffffff" w:themeColor="accent3" w:themeTint="FE" w:fill="9bba59" w:themeFill="accent3" w:themeFillTint="FE"/>
      </w:tcPr>
    </w:tblStylePr>
    <w:tblStylePr w:type="lastCol">
      <w:rPr>
        <w:rFonts w:ascii="Arial" w:hAnsi="Arial"/>
        <w:color w:val="f2f2f2"/>
        <w:sz w:val="22"/>
      </w:rPr>
      <w:tcPr>
        <w:shd w:val="clear" w:color="ffffff" w:themeColor="accent3" w:themeTint="FE" w:fill="9bba59" w:themeFill="accent3" w:themeFillTint="FE"/>
      </w:tcPr>
    </w:tblStylePr>
    <w:tblStylePr w:type="lastRow">
      <w:rPr>
        <w:rFonts w:ascii="Arial" w:hAnsi="Arial"/>
        <w:color w:val="f2f2f2"/>
        <w:sz w:val="22"/>
      </w:rPr>
      <w:tcPr>
        <w:shd w:val="clear" w:color="ffffff" w:themeColor="accent3" w:themeTint="FE" w:fill="9bba59" w:themeFill="accent3" w:themeFillTint="FE"/>
      </w:tcPr>
    </w:tblStylePr>
  </w:style>
  <w:style w:type="table" w:styleId="981">
    <w:name w:val="Bordered &amp; Lined - Accent 4"/>
    <w:basedOn w:val="1011"/>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e5dfec" w:themeFill="accent4" w:themeFillTint="34"/>
      </w:tcPr>
    </w:tblStylePr>
    <w:tblStylePr w:type="band2Vert">
      <w:rPr>
        <w:rFonts w:ascii="Arial" w:hAnsi="Arial"/>
        <w:color w:val="404040"/>
        <w:sz w:val="22"/>
      </w:rPr>
      <w:tcPr>
        <w:shd w:val="clear" w:color="ffffff" w:themeColor="accent4" w:themeTint="34" w:fill="e5dfec" w:themeFill="accent4" w:themeFillTint="34"/>
      </w:tcPr>
    </w:tblStylePr>
    <w:tblStylePr w:type="firstCol">
      <w:rPr>
        <w:rFonts w:ascii="Arial" w:hAnsi="Arial"/>
        <w:color w:val="f2f2f2"/>
        <w:sz w:val="22"/>
      </w:rPr>
      <w:tcPr>
        <w:shd w:val="clear" w:color="ffffff" w:themeColor="accent4" w:themeTint="9A" w:fill="b2a1c6" w:themeFill="accent4" w:themeFillTint="9A"/>
      </w:tcPr>
    </w:tblStylePr>
    <w:tblStylePr w:type="firstRow">
      <w:rPr>
        <w:rFonts w:ascii="Arial" w:hAnsi="Arial"/>
        <w:color w:val="f2f2f2"/>
        <w:sz w:val="22"/>
      </w:rPr>
      <w:tcPr>
        <w:shd w:val="clear" w:color="ffffff" w:themeColor="accent4" w:themeTint="9A" w:fill="b2a1c6" w:themeFill="accent4" w:themeFillTint="9A"/>
      </w:tcPr>
    </w:tblStylePr>
    <w:tblStylePr w:type="lastCol">
      <w:rPr>
        <w:rFonts w:ascii="Arial" w:hAnsi="Arial"/>
        <w:color w:val="f2f2f2"/>
        <w:sz w:val="22"/>
      </w:rPr>
      <w:tcPr>
        <w:shd w:val="clear" w:color="ffffff" w:themeColor="accent4" w:themeTint="9A" w:fill="b2a1c6" w:themeFill="accent4" w:themeFillTint="9A"/>
      </w:tcPr>
    </w:tblStylePr>
    <w:tblStylePr w:type="lastRow">
      <w:rPr>
        <w:rFonts w:ascii="Arial" w:hAnsi="Arial"/>
        <w:color w:val="f2f2f2"/>
        <w:sz w:val="22"/>
      </w:rPr>
      <w:tcPr>
        <w:shd w:val="clear" w:color="ffffff" w:themeColor="accent4" w:themeTint="9A" w:fill="b2a1c6" w:themeFill="accent4" w:themeFillTint="9A"/>
      </w:tcPr>
    </w:tblStylePr>
  </w:style>
  <w:style w:type="table" w:styleId="982">
    <w:name w:val="Bordered &amp; Lined - Accent 5"/>
    <w:basedOn w:val="1011"/>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aeef3" w:themeFill="accent5" w:themeFillTint="34"/>
      </w:tcPr>
    </w:tblStylePr>
    <w:tblStylePr w:type="band2Vert">
      <w:rPr>
        <w:rFonts w:ascii="Arial" w:hAnsi="Arial"/>
        <w:color w:val="404040"/>
        <w:sz w:val="22"/>
      </w:rPr>
      <w:tcPr>
        <w:shd w:val="clear" w:color="ffffff" w:themeColor="accent5" w:themeTint="34" w:fill="daeef3" w:themeFill="accent5" w:themeFillTint="34"/>
      </w:tcPr>
    </w:tblStylePr>
    <w:tblStylePr w:type="firstCol">
      <w:rPr>
        <w:rFonts w:ascii="Arial" w:hAnsi="Arial"/>
        <w:color w:val="f2f2f2"/>
        <w:sz w:val="22"/>
      </w:rPr>
      <w:tcPr>
        <w:shd w:val="clear" w:color="ffffff" w:themeColor="accent5" w:fill="4bacc6" w:themeFill="accent5"/>
      </w:tcPr>
    </w:tblStylePr>
    <w:tblStylePr w:type="firstRow">
      <w:rPr>
        <w:rFonts w:ascii="Arial" w:hAnsi="Arial"/>
        <w:color w:val="f2f2f2"/>
        <w:sz w:val="22"/>
      </w:rPr>
      <w:tcPr>
        <w:shd w:val="clear" w:color="ffffff" w:themeColor="accent5" w:fill="4bacc6" w:themeFill="accent5"/>
      </w:tcPr>
    </w:tblStylePr>
    <w:tblStylePr w:type="lastCol">
      <w:rPr>
        <w:rFonts w:ascii="Arial" w:hAnsi="Arial"/>
        <w:color w:val="f2f2f2"/>
        <w:sz w:val="22"/>
      </w:rPr>
      <w:tcPr>
        <w:shd w:val="clear" w:color="ffffff" w:themeColor="accent5" w:fill="4bacc6" w:themeFill="accent5"/>
      </w:tcPr>
    </w:tblStylePr>
    <w:tblStylePr w:type="lastRow">
      <w:rPr>
        <w:rFonts w:ascii="Arial" w:hAnsi="Arial"/>
        <w:color w:val="f2f2f2"/>
        <w:sz w:val="22"/>
      </w:rPr>
      <w:tcPr>
        <w:shd w:val="clear" w:color="ffffff" w:themeColor="accent5" w:fill="4bacc6" w:themeFill="accent5"/>
      </w:tcPr>
    </w:tblStylePr>
  </w:style>
  <w:style w:type="table" w:styleId="983">
    <w:name w:val="Bordered &amp; Lined - Accent 6"/>
    <w:basedOn w:val="1011"/>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fde9d8" w:themeFill="accent6" w:themeFillTint="34"/>
      </w:tcPr>
    </w:tblStylePr>
    <w:tblStylePr w:type="band2Vert">
      <w:rPr>
        <w:rFonts w:ascii="Arial" w:hAnsi="Arial"/>
        <w:color w:val="404040"/>
        <w:sz w:val="22"/>
      </w:rPr>
      <w:tcPr>
        <w:shd w:val="clear" w:color="ffffff" w:themeColor="accent6" w:themeTint="34" w:fill="fde9d8" w:themeFill="accent6" w:themeFillTint="34"/>
      </w:tcPr>
    </w:tblStylePr>
    <w:tblStylePr w:type="firstCol">
      <w:rPr>
        <w:rFonts w:ascii="Arial" w:hAnsi="Arial"/>
        <w:color w:val="f2f2f2"/>
        <w:sz w:val="22"/>
      </w:rPr>
      <w:tcPr>
        <w:shd w:val="clear" w:color="ffffff" w:themeColor="accent6" w:fill="f79646" w:themeFill="accent6"/>
      </w:tcPr>
    </w:tblStylePr>
    <w:tblStylePr w:type="firstRow">
      <w:rPr>
        <w:rFonts w:ascii="Arial" w:hAnsi="Arial"/>
        <w:color w:val="f2f2f2"/>
        <w:sz w:val="22"/>
      </w:rPr>
      <w:tcPr>
        <w:shd w:val="clear" w:color="ffffff" w:themeColor="accent6" w:fill="f79646" w:themeFill="accent6"/>
      </w:tcPr>
    </w:tblStylePr>
    <w:tblStylePr w:type="lastCol">
      <w:rPr>
        <w:rFonts w:ascii="Arial" w:hAnsi="Arial"/>
        <w:color w:val="f2f2f2"/>
        <w:sz w:val="22"/>
      </w:rPr>
      <w:tcPr>
        <w:shd w:val="clear" w:color="ffffff" w:themeColor="accent6" w:fill="f79646" w:themeFill="accent6"/>
      </w:tcPr>
    </w:tblStylePr>
    <w:tblStylePr w:type="lastRow">
      <w:rPr>
        <w:rFonts w:ascii="Arial" w:hAnsi="Arial"/>
        <w:color w:val="f2f2f2"/>
        <w:sz w:val="22"/>
      </w:rPr>
      <w:tcPr>
        <w:shd w:val="clear" w:color="ffffff" w:themeColor="accent6" w:fill="f79646" w:themeFill="accent6"/>
      </w:tcPr>
    </w:tblStylePr>
  </w:style>
  <w:style w:type="table" w:styleId="984">
    <w:name w:val="Bordered"/>
    <w:basedOn w:val="1011"/>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85">
    <w:name w:val="Bordered - Accent 1"/>
    <w:basedOn w:val="1011"/>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86">
    <w:name w:val="Bordered - Accent 2"/>
    <w:basedOn w:val="1011"/>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87">
    <w:name w:val="Bordered - Accent 3"/>
    <w:basedOn w:val="1011"/>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88">
    <w:name w:val="Bordered - Accent 4"/>
    <w:basedOn w:val="1011"/>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89">
    <w:name w:val="Bordered - Accent 5"/>
    <w:basedOn w:val="1011"/>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90">
    <w:name w:val="Bordered - Accent 6"/>
    <w:basedOn w:val="1011"/>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character" w:styleId="991">
    <w:name w:val="Footnote Text Char"/>
    <w:link w:val="1024"/>
    <w:uiPriority w:val="99"/>
    <w:rPr>
      <w:sz w:val="18"/>
    </w:rPr>
  </w:style>
  <w:style w:type="paragraph" w:styleId="992">
    <w:name w:val="endnote text"/>
    <w:basedOn w:val="1006"/>
    <w:link w:val="993"/>
    <w:uiPriority w:val="99"/>
    <w:semiHidden/>
    <w:unhideWhenUsed/>
    <w:pPr>
      <w:spacing w:after="0" w:line="240" w:lineRule="auto"/>
    </w:pPr>
    <w:rPr>
      <w:sz w:val="20"/>
    </w:rPr>
  </w:style>
  <w:style w:type="character" w:styleId="993">
    <w:name w:val="Endnote Text Char"/>
    <w:link w:val="992"/>
    <w:uiPriority w:val="99"/>
    <w:rPr>
      <w:sz w:val="20"/>
    </w:rPr>
  </w:style>
  <w:style w:type="character" w:styleId="994">
    <w:name w:val="endnote reference"/>
    <w:basedOn w:val="1010"/>
    <w:uiPriority w:val="99"/>
    <w:semiHidden/>
    <w:unhideWhenUsed/>
    <w:rPr>
      <w:vertAlign w:val="superscript"/>
    </w:rPr>
  </w:style>
  <w:style w:type="paragraph" w:styleId="995">
    <w:name w:val="toc 1"/>
    <w:basedOn w:val="1006"/>
    <w:next w:val="1006"/>
    <w:uiPriority w:val="39"/>
    <w:unhideWhenUsed/>
    <w:pPr>
      <w:ind w:left="0" w:right="0" w:firstLine="0"/>
      <w:spacing w:after="57"/>
    </w:pPr>
  </w:style>
  <w:style w:type="paragraph" w:styleId="996">
    <w:name w:val="toc 2"/>
    <w:basedOn w:val="1006"/>
    <w:next w:val="1006"/>
    <w:uiPriority w:val="39"/>
    <w:unhideWhenUsed/>
    <w:pPr>
      <w:ind w:left="283" w:right="0" w:firstLine="0"/>
      <w:spacing w:after="57"/>
    </w:pPr>
  </w:style>
  <w:style w:type="paragraph" w:styleId="997">
    <w:name w:val="toc 3"/>
    <w:basedOn w:val="1006"/>
    <w:next w:val="1006"/>
    <w:uiPriority w:val="39"/>
    <w:unhideWhenUsed/>
    <w:pPr>
      <w:ind w:left="567" w:right="0" w:firstLine="0"/>
      <w:spacing w:after="57"/>
    </w:pPr>
  </w:style>
  <w:style w:type="paragraph" w:styleId="998">
    <w:name w:val="toc 4"/>
    <w:basedOn w:val="1006"/>
    <w:next w:val="1006"/>
    <w:uiPriority w:val="39"/>
    <w:unhideWhenUsed/>
    <w:pPr>
      <w:ind w:left="850" w:right="0" w:firstLine="0"/>
      <w:spacing w:after="57"/>
    </w:pPr>
  </w:style>
  <w:style w:type="paragraph" w:styleId="999">
    <w:name w:val="toc 5"/>
    <w:basedOn w:val="1006"/>
    <w:next w:val="1006"/>
    <w:uiPriority w:val="39"/>
    <w:unhideWhenUsed/>
    <w:pPr>
      <w:ind w:left="1134" w:right="0" w:firstLine="0"/>
      <w:spacing w:after="57"/>
    </w:pPr>
  </w:style>
  <w:style w:type="paragraph" w:styleId="1000">
    <w:name w:val="toc 6"/>
    <w:basedOn w:val="1006"/>
    <w:next w:val="1006"/>
    <w:uiPriority w:val="39"/>
    <w:unhideWhenUsed/>
    <w:pPr>
      <w:ind w:left="1417" w:right="0" w:firstLine="0"/>
      <w:spacing w:after="57"/>
    </w:pPr>
  </w:style>
  <w:style w:type="paragraph" w:styleId="1001">
    <w:name w:val="toc 7"/>
    <w:basedOn w:val="1006"/>
    <w:next w:val="1006"/>
    <w:uiPriority w:val="39"/>
    <w:unhideWhenUsed/>
    <w:pPr>
      <w:ind w:left="1701" w:right="0" w:firstLine="0"/>
      <w:spacing w:after="57"/>
    </w:pPr>
  </w:style>
  <w:style w:type="paragraph" w:styleId="1002">
    <w:name w:val="toc 8"/>
    <w:basedOn w:val="1006"/>
    <w:next w:val="1006"/>
    <w:uiPriority w:val="39"/>
    <w:unhideWhenUsed/>
    <w:pPr>
      <w:ind w:left="1984" w:right="0" w:firstLine="0"/>
      <w:spacing w:after="57"/>
    </w:pPr>
  </w:style>
  <w:style w:type="paragraph" w:styleId="1003">
    <w:name w:val="toc 9"/>
    <w:basedOn w:val="1006"/>
    <w:next w:val="1006"/>
    <w:uiPriority w:val="39"/>
    <w:unhideWhenUsed/>
    <w:pPr>
      <w:ind w:left="2268" w:right="0" w:firstLine="0"/>
      <w:spacing w:after="57"/>
    </w:pPr>
  </w:style>
  <w:style w:type="paragraph" w:styleId="1004">
    <w:name w:val="TOC Heading"/>
    <w:uiPriority w:val="39"/>
    <w:unhideWhenUsed/>
  </w:style>
  <w:style w:type="paragraph" w:styleId="1005">
    <w:name w:val="table of figures"/>
    <w:basedOn w:val="1006"/>
    <w:next w:val="1006"/>
    <w:uiPriority w:val="99"/>
    <w:unhideWhenUsed/>
    <w:pPr>
      <w:spacing w:after="0" w:afterAutospacing="0"/>
    </w:pPr>
  </w:style>
  <w:style w:type="paragraph" w:styleId="1006" w:default="1">
    <w:name w:val="Normal"/>
    <w:qFormat/>
    <w:pPr>
      <w:contextualSpacing/>
      <w:ind w:firstLine="708"/>
      <w:jc w:val="both"/>
      <w:spacing w:line="240" w:lineRule="auto"/>
    </w:pPr>
    <w:rPr>
      <w:rFonts w:ascii="Times New Roman" w:hAnsi="Times New Roman" w:eastAsia="Calibri" w:cs="Times New Roman"/>
      <w:b/>
      <w:bCs/>
      <w:color w:val="000000"/>
      <w:sz w:val="28"/>
      <w:szCs w:val="28"/>
      <w:shd w:val="clear" w:color="ffffff" w:themeColor="background1" w:fill="ffffff" w:themeFill="background1"/>
    </w:rPr>
  </w:style>
  <w:style w:type="paragraph" w:styleId="1007">
    <w:name w:val="Heading 1"/>
    <w:basedOn w:val="1006"/>
    <w:link w:val="1013"/>
    <w:uiPriority w:val="9"/>
    <w:qFormat/>
    <w:pPr>
      <w:spacing w:before="100" w:beforeAutospacing="1" w:after="100" w:afterAutospacing="1" w:line="240" w:lineRule="auto"/>
      <w:outlineLvl w:val="0"/>
    </w:pPr>
    <w:rPr>
      <w:rFonts w:ascii="Times New Roman" w:hAnsi="Times New Roman" w:eastAsia="Times New Roman" w:cs="Times New Roman"/>
      <w:b/>
      <w:bCs/>
      <w:sz w:val="48"/>
      <w:szCs w:val="48"/>
      <w:lang w:eastAsia="ru-RU"/>
    </w:rPr>
  </w:style>
  <w:style w:type="paragraph" w:styleId="1008">
    <w:name w:val="Heading 2"/>
    <w:basedOn w:val="1006"/>
    <w:next w:val="1006"/>
    <w:link w:val="1030"/>
    <w:uiPriority w:val="9"/>
    <w:unhideWhenUsed/>
    <w:qFormat/>
    <w:pPr>
      <w:keepLines/>
      <w:keepNext/>
      <w:spacing w:before="200" w:after="0"/>
      <w:outlineLvl w:val="1"/>
    </w:pPr>
    <w:rPr>
      <w:rFonts w:asciiTheme="majorHAnsi" w:hAnsiTheme="majorHAnsi" w:eastAsiaTheme="majorEastAsia" w:cstheme="majorBidi"/>
      <w:b/>
      <w:bCs/>
      <w:color w:val="4f81bd" w:themeColor="accent1"/>
      <w:sz w:val="26"/>
      <w:szCs w:val="26"/>
    </w:rPr>
  </w:style>
  <w:style w:type="paragraph" w:styleId="1009">
    <w:name w:val="Heading 3"/>
    <w:basedOn w:val="1006"/>
    <w:next w:val="1006"/>
    <w:link w:val="1051"/>
    <w:uiPriority w:val="9"/>
    <w:semiHidden/>
    <w:unhideWhenUsed/>
    <w:qFormat/>
    <w:pPr>
      <w:keepLines/>
      <w:keepNext/>
      <w:spacing w:before="40" w:after="0"/>
      <w:outlineLvl w:val="2"/>
    </w:pPr>
    <w:rPr>
      <w:rFonts w:asciiTheme="majorHAnsi" w:hAnsiTheme="majorHAnsi" w:eastAsiaTheme="majorEastAsia" w:cstheme="majorBidi"/>
      <w:color w:val="243f60" w:themeColor="accent1" w:themeShade="7F"/>
      <w:sz w:val="24"/>
      <w:szCs w:val="24"/>
    </w:rPr>
  </w:style>
  <w:style w:type="character" w:styleId="1010" w:default="1">
    <w:name w:val="Default Paragraph Font"/>
    <w:uiPriority w:val="1"/>
    <w:semiHidden/>
    <w:unhideWhenUsed/>
  </w:style>
  <w:style w:type="table" w:styleId="1011" w:default="1">
    <w:name w:val="Normal Table"/>
    <w:uiPriority w:val="99"/>
    <w:semiHidden/>
    <w:unhideWhenUsed/>
    <w:tblPr>
      <w:tblInd w:w="0" w:type="dxa"/>
      <w:tblCellMar>
        <w:left w:w="108" w:type="dxa"/>
        <w:top w:w="0" w:type="dxa"/>
        <w:right w:w="108" w:type="dxa"/>
        <w:bottom w:w="0" w:type="dxa"/>
      </w:tblCellMar>
    </w:tblPr>
  </w:style>
  <w:style w:type="numbering" w:styleId="1012" w:default="1">
    <w:name w:val="No List"/>
    <w:uiPriority w:val="99"/>
    <w:semiHidden/>
    <w:unhideWhenUsed/>
  </w:style>
  <w:style w:type="character" w:styleId="1013" w:customStyle="1">
    <w:name w:val="Заголовок 1 Знак"/>
    <w:basedOn w:val="1010"/>
    <w:link w:val="1007"/>
    <w:uiPriority w:val="9"/>
    <w:rPr>
      <w:rFonts w:ascii="Times New Roman" w:hAnsi="Times New Roman" w:eastAsia="Times New Roman" w:cs="Times New Roman"/>
      <w:b/>
      <w:bCs/>
      <w:sz w:val="48"/>
      <w:szCs w:val="48"/>
      <w:lang w:eastAsia="ru-RU"/>
    </w:rPr>
  </w:style>
  <w:style w:type="paragraph" w:styleId="1014" w:customStyle="1">
    <w:name w:val="ConsPlusNormal"/>
    <w:link w:val="1015"/>
    <w:pPr>
      <w:ind w:firstLine="720"/>
      <w:spacing w:after="0" w:line="240" w:lineRule="auto"/>
      <w:widowControl w:val="off"/>
    </w:pPr>
    <w:rPr>
      <w:rFonts w:ascii="Arial" w:hAnsi="Arial" w:eastAsia="Times New Roman" w:cs="Arial"/>
      <w:sz w:val="20"/>
      <w:szCs w:val="20"/>
      <w:lang w:eastAsia="ru-RU"/>
    </w:rPr>
  </w:style>
  <w:style w:type="character" w:styleId="1015" w:customStyle="1">
    <w:name w:val="ConsPlusNormal Знак"/>
    <w:basedOn w:val="1010"/>
    <w:link w:val="1014"/>
    <w:rPr>
      <w:rFonts w:ascii="Arial" w:hAnsi="Arial" w:eastAsia="Times New Roman" w:cs="Arial"/>
      <w:sz w:val="20"/>
      <w:szCs w:val="20"/>
      <w:lang w:eastAsia="ru-RU"/>
    </w:rPr>
  </w:style>
  <w:style w:type="character" w:styleId="1016">
    <w:name w:val="Hyperlink"/>
    <w:basedOn w:val="1010"/>
    <w:unhideWhenUsed/>
    <w:rPr>
      <w:color w:val="0000ff"/>
      <w:u w:val="single"/>
    </w:rPr>
  </w:style>
  <w:style w:type="paragraph" w:styleId="1017">
    <w:name w:val="Header"/>
    <w:basedOn w:val="1006"/>
    <w:link w:val="1018"/>
    <w:uiPriority w:val="99"/>
    <w:pPr>
      <w:spacing w:after="0" w:line="240" w:lineRule="auto"/>
      <w:tabs>
        <w:tab w:val="center" w:pos="4677" w:leader="none"/>
        <w:tab w:val="right" w:pos="9355" w:leader="none"/>
      </w:tabs>
    </w:pPr>
    <w:rPr>
      <w:rFonts w:ascii="Times New Roman" w:hAnsi="Times New Roman" w:eastAsia="Calibri" w:cs="Times New Roman"/>
      <w:bCs/>
      <w:color w:val="000000"/>
      <w:sz w:val="24"/>
      <w:szCs w:val="24"/>
      <w:lang w:eastAsia="ru-RU"/>
    </w:rPr>
  </w:style>
  <w:style w:type="character" w:styleId="1018" w:customStyle="1">
    <w:name w:val="Верхний колонтитул Знак"/>
    <w:basedOn w:val="1010"/>
    <w:link w:val="1017"/>
    <w:uiPriority w:val="99"/>
    <w:rPr>
      <w:rFonts w:ascii="Times New Roman" w:hAnsi="Times New Roman" w:eastAsia="Calibri" w:cs="Times New Roman"/>
      <w:bCs/>
      <w:color w:val="000000"/>
      <w:sz w:val="24"/>
      <w:szCs w:val="24"/>
      <w:lang w:eastAsia="ru-RU"/>
    </w:rPr>
  </w:style>
  <w:style w:type="character" w:styleId="1019" w:customStyle="1">
    <w:name w:val="title1"/>
    <w:basedOn w:val="1010"/>
  </w:style>
  <w:style w:type="paragraph" w:styleId="1020">
    <w:name w:val="Balloon Text"/>
    <w:basedOn w:val="1006"/>
    <w:link w:val="1021"/>
    <w:uiPriority w:val="99"/>
    <w:semiHidden/>
    <w:unhideWhenUsed/>
    <w:pPr>
      <w:spacing w:after="0" w:line="240" w:lineRule="auto"/>
    </w:pPr>
    <w:rPr>
      <w:rFonts w:ascii="Tahoma" w:hAnsi="Tahoma" w:cs="Tahoma"/>
      <w:sz w:val="16"/>
      <w:szCs w:val="16"/>
    </w:rPr>
  </w:style>
  <w:style w:type="character" w:styleId="1021" w:customStyle="1">
    <w:name w:val="Текст выноски Знак"/>
    <w:basedOn w:val="1010"/>
    <w:link w:val="1020"/>
    <w:uiPriority w:val="99"/>
    <w:semiHidden/>
    <w:rPr>
      <w:rFonts w:ascii="Tahoma" w:hAnsi="Tahoma" w:cs="Tahoma"/>
      <w:sz w:val="16"/>
      <w:szCs w:val="16"/>
    </w:rPr>
  </w:style>
  <w:style w:type="paragraph" w:styleId="1022">
    <w:name w:val="Normal (Web)"/>
    <w:basedOn w:val="1006"/>
    <w:uiPriority w:val="99"/>
    <w:unhideWhenUsed/>
    <w:pPr>
      <w:spacing w:before="100" w:beforeAutospacing="1" w:after="100" w:afterAutospacing="1" w:line="240" w:lineRule="auto"/>
    </w:pPr>
    <w:rPr>
      <w:rFonts w:ascii="Times New Roman" w:hAnsi="Times New Roman" w:eastAsia="Times New Roman" w:cs="Times New Roman"/>
      <w:sz w:val="24"/>
      <w:szCs w:val="24"/>
      <w:lang w:eastAsia="ru-RU"/>
    </w:rPr>
  </w:style>
  <w:style w:type="table" w:styleId="1023">
    <w:name w:val="Table Grid"/>
    <w:basedOn w:val="1011"/>
    <w:uiPriority w:val="3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1024">
    <w:name w:val="footnote text"/>
    <w:basedOn w:val="1006"/>
    <w:link w:val="1025"/>
    <w:uiPriority w:val="99"/>
    <w:unhideWhenUsed/>
    <w:pPr>
      <w:spacing w:after="0" w:line="240" w:lineRule="auto"/>
    </w:pPr>
    <w:rPr>
      <w:sz w:val="20"/>
      <w:szCs w:val="20"/>
    </w:rPr>
  </w:style>
  <w:style w:type="character" w:styleId="1025" w:customStyle="1">
    <w:name w:val="Текст сноски Знак"/>
    <w:basedOn w:val="1010"/>
    <w:link w:val="1024"/>
    <w:uiPriority w:val="99"/>
    <w:rPr>
      <w:sz w:val="20"/>
      <w:szCs w:val="20"/>
    </w:rPr>
  </w:style>
  <w:style w:type="character" w:styleId="1026">
    <w:name w:val="footnote reference"/>
    <w:basedOn w:val="1010"/>
    <w:uiPriority w:val="99"/>
    <w:unhideWhenUsed/>
    <w:rPr>
      <w:vertAlign w:val="superscript"/>
    </w:rPr>
  </w:style>
  <w:style w:type="paragraph" w:styleId="1027">
    <w:name w:val="List Paragraph"/>
    <w:basedOn w:val="1006"/>
    <w:uiPriority w:val="34"/>
    <w:qFormat/>
    <w:pPr>
      <w:contextualSpacing/>
      <w:ind w:left="720"/>
      <w:spacing w:after="160" w:line="259" w:lineRule="auto"/>
    </w:pPr>
  </w:style>
  <w:style w:type="paragraph" w:styleId="1028">
    <w:name w:val="Body Text"/>
    <w:basedOn w:val="1006"/>
    <w:link w:val="1029"/>
    <w:uiPriority w:val="1"/>
    <w:qFormat/>
    <w:pPr>
      <w:spacing w:after="0" w:line="240" w:lineRule="auto"/>
      <w:widowControl w:val="off"/>
    </w:pPr>
    <w:rPr>
      <w:rFonts w:ascii="Times New Roman" w:hAnsi="Times New Roman" w:eastAsia="Times New Roman" w:cs="Times New Roman"/>
      <w:sz w:val="28"/>
      <w:szCs w:val="28"/>
    </w:rPr>
  </w:style>
  <w:style w:type="character" w:styleId="1029" w:customStyle="1">
    <w:name w:val="Основной текст Знак"/>
    <w:basedOn w:val="1010"/>
    <w:link w:val="1028"/>
    <w:uiPriority w:val="1"/>
    <w:rPr>
      <w:rFonts w:ascii="Times New Roman" w:hAnsi="Times New Roman" w:eastAsia="Times New Roman" w:cs="Times New Roman"/>
      <w:sz w:val="28"/>
      <w:szCs w:val="28"/>
    </w:rPr>
  </w:style>
  <w:style w:type="character" w:styleId="1030" w:customStyle="1">
    <w:name w:val="Заголовок 2 Знак"/>
    <w:basedOn w:val="1010"/>
    <w:link w:val="1008"/>
    <w:uiPriority w:val="9"/>
    <w:rPr>
      <w:rFonts w:asciiTheme="majorHAnsi" w:hAnsiTheme="majorHAnsi" w:eastAsiaTheme="majorEastAsia" w:cstheme="majorBidi"/>
      <w:b/>
      <w:bCs/>
      <w:color w:val="4f81bd" w:themeColor="accent1"/>
      <w:sz w:val="26"/>
      <w:szCs w:val="26"/>
    </w:rPr>
  </w:style>
  <w:style w:type="paragraph" w:styleId="1031" w:customStyle="1">
    <w:name w:val="Абзац списка1"/>
    <w:basedOn w:val="1006"/>
    <w:pPr>
      <w:contextualSpacing/>
      <w:ind w:left="720"/>
      <w:spacing w:after="0" w:line="240" w:lineRule="auto"/>
    </w:pPr>
    <w:rPr>
      <w:rFonts w:ascii="Times New Roman" w:hAnsi="Times New Roman" w:eastAsia="Calibri" w:cs="Times New Roman"/>
      <w:sz w:val="24"/>
      <w:szCs w:val="24"/>
      <w:lang w:eastAsia="ru-RU"/>
    </w:rPr>
  </w:style>
  <w:style w:type="character" w:styleId="1032">
    <w:name w:val="Strong"/>
    <w:basedOn w:val="1010"/>
    <w:uiPriority w:val="22"/>
    <w:qFormat/>
    <w:rPr>
      <w:b/>
      <w:bCs/>
    </w:rPr>
  </w:style>
  <w:style w:type="character" w:styleId="1033" w:customStyle="1">
    <w:name w:val="news__arrowdesktop"/>
    <w:basedOn w:val="1010"/>
  </w:style>
  <w:style w:type="paragraph" w:styleId="1034" w:customStyle="1">
    <w:name w:val="align_center"/>
    <w:basedOn w:val="1006"/>
    <w:pPr>
      <w:spacing w:before="100" w:beforeAutospacing="1" w:after="100" w:afterAutospacing="1" w:line="240" w:lineRule="auto"/>
    </w:pPr>
    <w:rPr>
      <w:rFonts w:ascii="Times New Roman" w:hAnsi="Times New Roman" w:eastAsia="Times New Roman" w:cs="Times New Roman"/>
      <w:sz w:val="24"/>
      <w:szCs w:val="24"/>
      <w:lang w:eastAsia="ru-RU"/>
    </w:rPr>
  </w:style>
  <w:style w:type="paragraph" w:styleId="1035" w:customStyle="1">
    <w:name w:val="no-indent"/>
    <w:basedOn w:val="1006"/>
    <w:pPr>
      <w:spacing w:before="100" w:beforeAutospacing="1" w:after="100" w:afterAutospacing="1" w:line="240" w:lineRule="auto"/>
    </w:pPr>
    <w:rPr>
      <w:rFonts w:ascii="Times New Roman" w:hAnsi="Times New Roman" w:eastAsia="Times New Roman" w:cs="Times New Roman"/>
      <w:sz w:val="24"/>
      <w:szCs w:val="24"/>
      <w:lang w:eastAsia="ru-RU"/>
    </w:rPr>
  </w:style>
  <w:style w:type="paragraph" w:styleId="1036">
    <w:name w:val="No Spacing"/>
    <w:link w:val="1049"/>
    <w:uiPriority w:val="1"/>
    <w:qFormat/>
    <w:pPr>
      <w:spacing w:after="0" w:line="240" w:lineRule="auto"/>
    </w:pPr>
  </w:style>
  <w:style w:type="character" w:styleId="1037" w:customStyle="1">
    <w:name w:val="Текст примечания Знак"/>
    <w:basedOn w:val="1010"/>
    <w:link w:val="1038"/>
    <w:uiPriority w:val="99"/>
    <w:semiHidden/>
    <w:rPr>
      <w:sz w:val="20"/>
      <w:szCs w:val="20"/>
    </w:rPr>
  </w:style>
  <w:style w:type="paragraph" w:styleId="1038">
    <w:name w:val="annotation text"/>
    <w:basedOn w:val="1006"/>
    <w:link w:val="1037"/>
    <w:uiPriority w:val="99"/>
    <w:semiHidden/>
    <w:unhideWhenUsed/>
    <w:pPr>
      <w:spacing w:after="160" w:line="240" w:lineRule="auto"/>
    </w:pPr>
    <w:rPr>
      <w:sz w:val="20"/>
      <w:szCs w:val="20"/>
    </w:rPr>
  </w:style>
  <w:style w:type="character" w:styleId="1039" w:customStyle="1">
    <w:name w:val="Текст примечания Знак1"/>
    <w:basedOn w:val="1010"/>
    <w:uiPriority w:val="99"/>
    <w:semiHidden/>
    <w:rPr>
      <w:sz w:val="20"/>
      <w:szCs w:val="20"/>
    </w:rPr>
  </w:style>
  <w:style w:type="character" w:styleId="1040" w:customStyle="1">
    <w:name w:val="Тема примечания Знак"/>
    <w:basedOn w:val="1037"/>
    <w:link w:val="1041"/>
    <w:uiPriority w:val="99"/>
    <w:semiHidden/>
    <w:rPr>
      <w:b/>
      <w:bCs/>
      <w:sz w:val="20"/>
      <w:szCs w:val="20"/>
    </w:rPr>
  </w:style>
  <w:style w:type="paragraph" w:styleId="1041">
    <w:name w:val="annotation subject"/>
    <w:basedOn w:val="1038"/>
    <w:next w:val="1038"/>
    <w:link w:val="1040"/>
    <w:uiPriority w:val="99"/>
    <w:semiHidden/>
    <w:unhideWhenUsed/>
    <w:rPr>
      <w:b/>
      <w:bCs/>
    </w:rPr>
  </w:style>
  <w:style w:type="character" w:styleId="1042" w:customStyle="1">
    <w:name w:val="Тема примечания Знак1"/>
    <w:basedOn w:val="1039"/>
    <w:uiPriority w:val="99"/>
    <w:semiHidden/>
    <w:rPr>
      <w:b/>
      <w:bCs/>
      <w:sz w:val="20"/>
      <w:szCs w:val="20"/>
    </w:rPr>
  </w:style>
  <w:style w:type="paragraph" w:styleId="1043">
    <w:name w:val="Footer"/>
    <w:basedOn w:val="1006"/>
    <w:link w:val="1044"/>
    <w:uiPriority w:val="99"/>
    <w:unhideWhenUsed/>
    <w:pPr>
      <w:spacing w:after="0" w:line="240" w:lineRule="auto"/>
      <w:tabs>
        <w:tab w:val="center" w:pos="4677" w:leader="none"/>
        <w:tab w:val="right" w:pos="9355" w:leader="none"/>
      </w:tabs>
    </w:pPr>
  </w:style>
  <w:style w:type="character" w:styleId="1044" w:customStyle="1">
    <w:name w:val="Нижний колонтитул Знак"/>
    <w:basedOn w:val="1010"/>
    <w:link w:val="1043"/>
    <w:uiPriority w:val="99"/>
  </w:style>
  <w:style w:type="paragraph" w:styleId="1045" w:customStyle="1">
    <w:name w:val="Style4"/>
    <w:basedOn w:val="1006"/>
    <w:uiPriority w:val="99"/>
    <w:pPr>
      <w:ind w:firstLine="845"/>
      <w:jc w:val="both"/>
      <w:spacing w:after="0" w:line="323" w:lineRule="exact"/>
      <w:widowControl w:val="off"/>
    </w:pPr>
    <w:rPr>
      <w:rFonts w:ascii="Times New Roman" w:hAnsi="Times New Roman" w:cs="Times New Roman" w:eastAsiaTheme="minorEastAsia"/>
      <w:sz w:val="24"/>
      <w:szCs w:val="24"/>
      <w:lang w:eastAsia="ru-RU"/>
    </w:rPr>
  </w:style>
  <w:style w:type="character" w:styleId="1046" w:customStyle="1">
    <w:name w:val="Font Style20"/>
    <w:basedOn w:val="1010"/>
    <w:uiPriority w:val="99"/>
    <w:rPr>
      <w:rFonts w:ascii="Times New Roman" w:hAnsi="Times New Roman" w:cs="Times New Roman"/>
      <w:sz w:val="26"/>
      <w:szCs w:val="26"/>
    </w:rPr>
  </w:style>
  <w:style w:type="paragraph" w:styleId="1047" w:customStyle="1">
    <w:name w:val="Style8"/>
    <w:basedOn w:val="1006"/>
    <w:uiPriority w:val="99"/>
    <w:pPr>
      <w:jc w:val="both"/>
      <w:spacing w:after="0" w:line="240" w:lineRule="auto"/>
      <w:widowControl w:val="off"/>
    </w:pPr>
    <w:rPr>
      <w:rFonts w:ascii="Times New Roman" w:hAnsi="Times New Roman" w:cs="Times New Roman" w:eastAsiaTheme="minorEastAsia"/>
      <w:sz w:val="24"/>
      <w:szCs w:val="24"/>
      <w:lang w:eastAsia="ru-RU"/>
    </w:rPr>
  </w:style>
  <w:style w:type="paragraph" w:styleId="1048" w:customStyle="1">
    <w:name w:val="ConsPlusTitle"/>
    <w:uiPriority w:val="99"/>
    <w:pPr>
      <w:spacing w:after="0" w:line="240" w:lineRule="auto"/>
      <w:widowControl w:val="off"/>
    </w:pPr>
    <w:rPr>
      <w:rFonts w:ascii="Arial" w:hAnsi="Arial" w:eastAsia="Times New Roman" w:cs="Arial"/>
      <w:b/>
      <w:bCs/>
      <w:sz w:val="20"/>
      <w:szCs w:val="20"/>
      <w:lang w:eastAsia="ru-RU"/>
    </w:rPr>
  </w:style>
  <w:style w:type="character" w:styleId="1049" w:customStyle="1">
    <w:name w:val="Без интервала Знак"/>
    <w:link w:val="1036"/>
    <w:uiPriority w:val="1"/>
  </w:style>
  <w:style w:type="paragraph" w:styleId="1050" w:customStyle="1">
    <w:name w:val="Style11"/>
    <w:basedOn w:val="1006"/>
    <w:uiPriority w:val="99"/>
    <w:pPr>
      <w:jc w:val="both"/>
      <w:spacing w:after="0" w:line="371" w:lineRule="exact"/>
      <w:widowControl w:val="off"/>
    </w:pPr>
    <w:rPr>
      <w:rFonts w:ascii="Times New Roman" w:hAnsi="Times New Roman" w:eastAsia="Times New Roman" w:cs="Times New Roman"/>
      <w:sz w:val="24"/>
      <w:szCs w:val="24"/>
      <w:lang w:eastAsia="ru-RU"/>
    </w:rPr>
  </w:style>
  <w:style w:type="character" w:styleId="1051" w:customStyle="1">
    <w:name w:val="Заголовок 3 Знак"/>
    <w:basedOn w:val="1010"/>
    <w:link w:val="1009"/>
    <w:uiPriority w:val="9"/>
    <w:semiHidden/>
    <w:rPr>
      <w:rFonts w:asciiTheme="majorHAnsi" w:hAnsiTheme="majorHAnsi" w:eastAsiaTheme="majorEastAsia" w:cstheme="majorBidi"/>
      <w:color w:val="243f60" w:themeColor="accent1" w:themeShade="7F"/>
      <w:sz w:val="24"/>
      <w:szCs w:val="24"/>
    </w:rPr>
  </w:style>
  <w:style w:type="paragraph" w:styleId="1052" w:customStyle="1">
    <w:name w:val="Style17"/>
    <w:basedOn w:val="1006"/>
    <w:uiPriority w:val="99"/>
    <w:pPr>
      <w:ind w:firstLine="706"/>
      <w:jc w:val="both"/>
      <w:spacing w:after="0" w:line="370" w:lineRule="exact"/>
      <w:widowControl w:val="off"/>
    </w:pPr>
    <w:rPr>
      <w:rFonts w:ascii="Times New Roman" w:hAnsi="Times New Roman" w:eastAsia="Times New Roman" w:cs="Times New Roman"/>
      <w:sz w:val="24"/>
      <w:szCs w:val="24"/>
      <w:lang w:eastAsia="ru-RU"/>
    </w:rPr>
  </w:style>
  <w:style w:type="paragraph" w:styleId="1053" w:customStyle="1">
    <w:name w:val="u"/>
    <w:basedOn w:val="1006"/>
    <w:pPr>
      <w:spacing w:before="100" w:beforeAutospacing="1" w:after="100" w:afterAutospacing="1" w:line="240" w:lineRule="auto"/>
    </w:pPr>
    <w:rPr>
      <w:rFonts w:ascii="Times New Roman" w:hAnsi="Times New Roman" w:eastAsia="Times New Roman" w:cs="Times New Roman"/>
      <w:sz w:val="24"/>
      <w:szCs w:val="24"/>
      <w:lang w:eastAsia="ru-RU"/>
    </w:rPr>
  </w:style>
  <w:style w:type="table" w:styleId="1054" w:customStyle="1">
    <w:name w:val="Сетка таблицы1"/>
    <w:basedOn w:val="1011"/>
    <w:next w:val="1023"/>
    <w:uiPriority w:val="39"/>
    <w:pPr>
      <w:spacing w:after="0" w:line="240" w:lineRule="auto"/>
    </w:pPr>
    <w:rPr>
      <w:rFonts w:ascii="Calibri" w:hAnsi="Calibri" w:eastAsia="Calibri" w:cs="Times New Roman"/>
      <w:sz w:val="20"/>
      <w:szCs w:val="20"/>
      <w:lang w:eastAsia="ru-RU"/>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1055" w:customStyle="1">
    <w:name w:val="Абзац списка"/>
    <w:uiPriority w:val="34"/>
    <w:qFormat/>
    <w:pPr>
      <w:contextualSpacing/>
      <w:ind w:left="720" w:right="0" w:firstLine="709"/>
      <w:jc w:val="both"/>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Calibri" w:cs="Times New Roman"/>
      <w:b w:val="0"/>
      <w:bCs w:val="0"/>
      <w:i w:val="0"/>
      <w:iCs w:val="0"/>
      <w:caps w:val="0"/>
      <w:smallCaps w:val="0"/>
      <w:strike w:val="0"/>
      <w:vanish w:val="0"/>
      <w:color w:val="auto"/>
      <w:spacing w:val="0"/>
      <w:position w:val="0"/>
      <w:sz w:val="28"/>
      <w:szCs w:val="28"/>
      <w:highlight w:val="none"/>
      <w:u w:val="none"/>
      <w:vertAlign w:val="baseline"/>
      <w:rtl w:val="0"/>
      <w:cs w:val="0"/>
      <w:lang w:val="ru-RU" w:eastAsia="en-US" w:bidi="ar-SA"/>
      <w14:ligatures w14:val="none"/>
    </w:rPr>
  </w:style>
  <w:style w:type="paragraph" w:styleId="1056" w:customStyle="1">
    <w:name w:val="Обычный (веб)"/>
    <w:uiPriority w:val="99"/>
    <w:unhideWhenUsed/>
    <w:pPr>
      <w:contextualSpacing w:val="0"/>
      <w:ind w:left="0" w:right="0" w:firstLine="0"/>
      <w:jc w:val="left"/>
      <w:keepLines w:val="0"/>
      <w:keepNext w:val="0"/>
      <w:pageBreakBefore w:val="0"/>
      <w:spacing w:before="100" w:beforeAutospacing="1" w:after="100" w:afterAutospacing="1"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Times New Roman" w:cs="Times New Roman"/>
      <w:b w:val="0"/>
      <w:bCs w:val="0"/>
      <w:i w:val="0"/>
      <w:iCs w:val="0"/>
      <w:caps w:val="0"/>
      <w:smallCaps w:val="0"/>
      <w:strike w:val="0"/>
      <w:vanish w:val="0"/>
      <w:color w:val="auto"/>
      <w:spacing w:val="0"/>
      <w:position w:val="0"/>
      <w:sz w:val="24"/>
      <w:szCs w:val="24"/>
      <w:highlight w:val="none"/>
      <w:u w:val="none"/>
      <w:vertAlign w:val="baseline"/>
      <w:rtl w:val="0"/>
      <w:cs w:val="0"/>
      <w:lang w:val="ru-RU" w:eastAsia="ru-RU" w:bidi="ar-SA"/>
      <w14:ligatures w14:val="none"/>
    </w:rPr>
  </w:style>
  <w:style w:type="paragraph" w:styleId="1057" w:customStyle="1">
    <w:name w:val="Текст сноски"/>
    <w:uiPriority w:val="99"/>
    <w:pPr>
      <w:contextualSpacing w:val="0"/>
      <w:ind w:left="0" w:right="0" w:firstLine="0"/>
      <w:jc w:val="left"/>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Times New Roman" w:cs="Times New Roman"/>
      <w:b w:val="0"/>
      <w:bCs w:val="0"/>
      <w:i w:val="0"/>
      <w:iCs w:val="0"/>
      <w:caps w:val="0"/>
      <w:smallCaps w:val="0"/>
      <w:strike w:val="0"/>
      <w:vanish w:val="0"/>
      <w:color w:val="auto"/>
      <w:spacing w:val="0"/>
      <w:position w:val="0"/>
      <w:sz w:val="20"/>
      <w:szCs w:val="20"/>
      <w:highlight w:val="none"/>
      <w:u w:val="none"/>
      <w:vertAlign w:val="baseline"/>
      <w:rtl w:val="0"/>
      <w:cs w:val="0"/>
      <w:lang w:val="en-US" w:eastAsia="ru-RU" w:bidi="ar-SA"/>
      <w14:ligatures w14:val="none"/>
    </w:rPr>
  </w:style>
  <w:style w:type="character" w:styleId="1058" w:customStyle="1">
    <w:name w:val="Знак сноски"/>
    <w:uiPriority w:val="99"/>
    <w:semiHidden/>
    <w:rPr>
      <w:vertAlign w:val="superscript"/>
    </w:rPr>
  </w:style>
  <w:style w:type="paragraph" w:styleId="1059" w:customStyle="1">
    <w:name w:val="Style1"/>
    <w:uiPriority w:val="99"/>
    <w:pPr>
      <w:contextualSpacing w:val="0"/>
      <w:ind w:left="0" w:right="0" w:firstLine="713"/>
      <w:jc w:val="both"/>
      <w:keepLines w:val="0"/>
      <w:keepNext w:val="0"/>
      <w:pageBreakBefore w:val="0"/>
      <w:spacing w:before="0" w:beforeAutospacing="0" w:after="0" w:afterAutospacing="0" w:line="356" w:lineRule="exact"/>
      <w:shd w:val="nil"/>
      <w:widowControl w:val="off"/>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Times New Roman" w:cs="Times New Roman"/>
      <w:b w:val="0"/>
      <w:bCs w:val="0"/>
      <w:i w:val="0"/>
      <w:iCs w:val="0"/>
      <w:caps w:val="0"/>
      <w:smallCaps w:val="0"/>
      <w:strike w:val="0"/>
      <w:vanish w:val="0"/>
      <w:color w:val="auto"/>
      <w:spacing w:val="0"/>
      <w:position w:val="0"/>
      <w:sz w:val="24"/>
      <w:szCs w:val="24"/>
      <w:highlight w:val="none"/>
      <w:u w:val="none"/>
      <w:vertAlign w:val="baseline"/>
      <w:rtl w:val="0"/>
      <w:cs w:val="0"/>
      <w:lang w:val="ru-RU" w:eastAsia="ru-RU" w:bidi="ar-SA"/>
      <w14:ligatures w14:val="none"/>
    </w:rPr>
  </w:style>
  <w:style w:type="paragraph" w:styleId="1060" w:customStyle="1">
    <w:name w:val="Default"/>
    <w:next w:val="1007"/>
    <w:pPr>
      <w:contextualSpacing w:val="0"/>
      <w:ind w:left="0" w:right="0" w:firstLine="0"/>
      <w:jc w:val="left"/>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Calibri" w:cs="Times New Roman"/>
      <w:b w:val="0"/>
      <w:bCs w:val="0"/>
      <w:i w:val="0"/>
      <w:iCs w:val="0"/>
      <w:caps w:val="0"/>
      <w:smallCaps w:val="0"/>
      <w:strike w:val="0"/>
      <w:vanish w:val="0"/>
      <w:color w:val="000000"/>
      <w:spacing w:val="0"/>
      <w:position w:val="0"/>
      <w:sz w:val="24"/>
      <w:szCs w:val="24"/>
      <w:highlight w:val="none"/>
      <w:u w:val="none"/>
      <w:vertAlign w:val="baseline"/>
      <w:rtl w:val="0"/>
      <w:cs w:val="0"/>
      <w:lang w:val="ru-RU" w:eastAsia="en-US" w:bidi="ar-SA"/>
      <w14:ligatures w14:val="none"/>
    </w:rPr>
  </w:style>
  <w:style w:type="character" w:styleId="1061" w:customStyle="1">
    <w:name w:val="Гиперссылка"/>
    <w:uiPriority w:val="99"/>
    <w:rPr>
      <w:color w:val="0000ff"/>
      <w:u w:val="single"/>
    </w:rPr>
  </w:style>
  <w:style w:type="paragraph" w:styleId="1062" w:customStyle="1">
    <w:name w:val="Без интервала"/>
    <w:next w:val="916"/>
    <w:link w:val="844"/>
    <w:uiPriority w:val="1"/>
    <w:qFormat/>
    <w:pPr>
      <w:contextualSpacing w:val="0"/>
      <w:ind w:left="0" w:right="0" w:firstLine="0"/>
      <w:jc w:val="left"/>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Calibri" w:hAnsi="Calibri" w:eastAsia="Calibri" w:cs="Times New Roman"/>
      <w:b w:val="0"/>
      <w:bCs w:val="0"/>
      <w:i w:val="0"/>
      <w:iCs w:val="0"/>
      <w:caps w:val="0"/>
      <w:smallCaps w:val="0"/>
      <w:strike w:val="0"/>
      <w:vanish w:val="0"/>
      <w:color w:val="auto"/>
      <w:spacing w:val="0"/>
      <w:position w:val="0"/>
      <w:sz w:val="22"/>
      <w:szCs w:val="22"/>
      <w:highlight w:val="none"/>
      <w:u w:val="none"/>
      <w:vertAlign w:val="baseline"/>
      <w:rtl w:val="0"/>
      <w:cs w:val="0"/>
      <w:lang w:val="ru-RU" w:eastAsia="en-US" w:bidi="ar-SA"/>
      <w14:ligatures w14:val="none"/>
    </w:rPr>
  </w:style>
  <w:style w:type="paragraph" w:styleId="1063" w:customStyle="1">
    <w:name w:val="Заголовок 3"/>
    <w:uiPriority w:val="9"/>
    <w:unhideWhenUsed/>
    <w:qFormat/>
    <w:pPr>
      <w:contextualSpacing w:val="0"/>
      <w:ind w:left="0" w:right="0" w:firstLine="709"/>
      <w:jc w:val="both"/>
      <w:keepLines w:val="0"/>
      <w:keepNext/>
      <w:pageBreakBefore w:val="0"/>
      <w:spacing w:before="240" w:beforeAutospacing="0" w:after="6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outlineLvl w:val="2"/>
      <w:suppressLineNumbers w:val="0"/>
    </w:pPr>
    <w:rPr>
      <w:rFonts w:ascii="Calibri Light" w:hAnsi="Calibri Light" w:eastAsia="Times New Roman" w:cs="Times New Roman"/>
      <w:b/>
      <w:bCs/>
      <w:i w:val="0"/>
      <w:iCs w:val="0"/>
      <w:caps w:val="0"/>
      <w:smallCaps w:val="0"/>
      <w:strike w:val="0"/>
      <w:vanish w:val="0"/>
      <w:color w:val="auto"/>
      <w:spacing w:val="0"/>
      <w:position w:val="0"/>
      <w:sz w:val="26"/>
      <w:szCs w:val="26"/>
      <w:highlight w:val="none"/>
      <w:u w:val="none"/>
      <w:vertAlign w:val="baseline"/>
      <w:rtl w:val="0"/>
      <w:cs w:val="0"/>
      <w:lang w:val="en-US" w:eastAsia="en-US" w:bidi="ar-SA"/>
      <w14:ligatures w14:val="none"/>
    </w:rPr>
  </w:style>
  <w:style w:type="paragraph" w:styleId="1064" w:customStyle="1">
    <w:name w:val="Text body"/>
    <w:pPr>
      <w:contextualSpacing w:val="0"/>
      <w:ind w:left="0" w:right="0" w:firstLine="0"/>
      <w:jc w:val="left"/>
      <w:keepLines w:val="0"/>
      <w:keepNext w:val="0"/>
      <w:pageBreakBefore w:val="0"/>
      <w:spacing w:before="0" w:beforeAutospacing="0" w:after="0" w:afterAutospacing="0" w:line="24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Times New Roman" w:hAnsi="Times New Roman" w:eastAsia="Calibri" w:cs="Times New Roman"/>
      <w:b w:val="0"/>
      <w:bCs w:val="0"/>
      <w:i w:val="0"/>
      <w:iCs w:val="0"/>
      <w:caps w:val="0"/>
      <w:smallCaps w:val="0"/>
      <w:strike w:val="0"/>
      <w:vanish w:val="0"/>
      <w:color w:val="auto"/>
      <w:spacing w:val="0"/>
      <w:position w:val="0"/>
      <w:sz w:val="28"/>
      <w:szCs w:val="20"/>
      <w:highlight w:val="none"/>
      <w:u w:val="none"/>
      <w:vertAlign w:val="baseline"/>
      <w:rtl w:val="0"/>
      <w:cs w:val="0"/>
      <w:lang w:val="ru-RU" w:eastAsia="ru-RU" w:bidi="ar-SA"/>
      <w14:ligatures w14:val="none"/>
    </w:rPr>
  </w:style>
  <w:style w:type="paragraph" w:styleId="1065" w:customStyle="1">
    <w:name w:val="ConsPlusTitlePage"/>
    <w:pPr>
      <w:contextualSpacing w:val="0"/>
      <w:ind w:left="0" w:right="0" w:firstLine="0"/>
      <w:jc w:val="left"/>
      <w:keepLines w:val="0"/>
      <w:keepNext w:val="0"/>
      <w:pageBreakBefore w:val="0"/>
      <w:spacing w:before="0" w:beforeAutospacing="0" w:after="0" w:afterAutospacing="0" w:line="240" w:lineRule="auto"/>
      <w:shd w:val="nil"/>
      <w:widowControl w:val="off"/>
      <w:pBdr>
        <w:top w:val="none" w:color="000000" w:sz="4" w:space="0"/>
        <w:left w:val="none" w:color="000000" w:sz="4" w:space="0"/>
        <w:bottom w:val="none" w:color="000000" w:sz="4" w:space="0"/>
        <w:right w:val="none" w:color="000000" w:sz="4" w:space="0"/>
        <w:between w:val="none" w:color="000000" w:sz="4" w:space="0"/>
      </w:pBdr>
      <w:suppressLineNumbers w:val="0"/>
    </w:pPr>
    <w:rPr>
      <w:rFonts w:ascii="Tahoma" w:hAnsi="Tahoma" w:eastAsia="Times New Roman" w:cs="Tahoma"/>
      <w:b w:val="0"/>
      <w:bCs w:val="0"/>
      <w:i w:val="0"/>
      <w:iCs w:val="0"/>
      <w:caps w:val="0"/>
      <w:smallCaps w:val="0"/>
      <w:strike w:val="0"/>
      <w:vanish w:val="0"/>
      <w:color w:val="auto"/>
      <w:spacing w:val="0"/>
      <w:position w:val="0"/>
      <w:sz w:val="20"/>
      <w:szCs w:val="20"/>
      <w:highlight w:val="none"/>
      <w:u w:val="none"/>
      <w:vertAlign w:val="baseline"/>
      <w:rtl w:val="0"/>
      <w:cs w:val="0"/>
      <w:lang w:val="ru-RU" w:eastAsia="ru-RU" w:bidi="ar-SA"/>
      <w14:ligatures w14:val="none"/>
    </w:rPr>
  </w:style>
  <w:style w:type="paragraph" w:styleId="1066" w:customStyle="1">
    <w:name w:val="Простой Текст"/>
    <w:qFormat/>
    <w:pPr>
      <w:contextualSpacing w:val="0"/>
      <w:ind w:left="0" w:right="0" w:firstLine="851"/>
      <w:jc w:val="both"/>
      <w:keepLines w:val="0"/>
      <w:keepNext w:val="0"/>
      <w:pageBreakBefore w:val="0"/>
      <w:spacing w:before="0" w:beforeAutospacing="0" w:after="160" w:afterAutospacing="0" w:line="360" w:lineRule="auto"/>
      <w:shd w:val="nil"/>
      <w:widowControl/>
      <w:pBdr>
        <w:top w:val="none" w:color="000000" w:sz="4" w:space="0"/>
        <w:left w:val="none" w:color="000000" w:sz="4" w:space="0"/>
        <w:bottom w:val="none" w:color="000000" w:sz="4" w:space="0"/>
        <w:right w:val="none" w:color="000000" w:sz="4" w:space="0"/>
        <w:between w:val="none" w:color="000000" w:sz="4" w:space="0"/>
      </w:pBdr>
      <w:suppressLineNumbers w:val="0"/>
    </w:pPr>
    <w:rPr>
      <w:rFonts w:ascii="Arial" w:hAnsi="Arial" w:eastAsia="Times New Roman" w:cstheme="minorBidi"/>
      <w:b w:val="0"/>
      <w:bCs w:val="0"/>
      <w:i w:val="0"/>
      <w:iCs w:val="0"/>
      <w:caps w:val="0"/>
      <w:smallCaps w:val="0"/>
      <w:strike w:val="0"/>
      <w:vanish w:val="0"/>
      <w:color w:val="auto"/>
      <w:spacing w:val="0"/>
      <w:position w:val="0"/>
      <w:sz w:val="24"/>
      <w:szCs w:val="24"/>
      <w:highlight w:val="none"/>
      <w:u w:val="none"/>
      <w:vertAlign w:val="baseline"/>
      <w:rtl w:val="0"/>
      <w:cs w:val="0"/>
      <w:lang w:val="ru-RU" w:eastAsia="ru-RU" w:bidi="ar-SA"/>
      <w14:ligatures w14:val="none"/>
    </w:r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footer" Target="footer1.xml" /><Relationship Id="rId12" Type="http://schemas.openxmlformats.org/officeDocument/2006/relationships/customXml" Target="../customXml/item1.xml" /><Relationship Id="rId13" Type="http://schemas.openxmlformats.org/officeDocument/2006/relationships/image" Target="media/image1.jpg"/><Relationship Id="rId14" Type="http://schemas.openxmlformats.org/officeDocument/2006/relationships/hyperlink" Target="https://newsletters.consultant.ru/link/eyJlbWFpbF9pZCI6IjI0NzY2MCIsImNuIjoiMzQ4MDpCTEQ6anVyaXN0IiwibGV0dGVyX2lkIjoiMzQ4MCIsInVybCI6Imh0dHBzOlwvXC9sb2dpbi5jb25zdWx0YW50LnJ1XC9saW5rXC8_cmVxPWRvYyZiYXNlPUxBVyZuPTUyMTUzOCZkc3Q9MTAwMDQ3JnNlbmQ9MSIsInNjb3BlIjoiQkxEIn0.1/" TargetMode="External"/><Relationship Id="rId15" Type="http://schemas.openxmlformats.org/officeDocument/2006/relationships/hyperlink" Target="https://www.consultant.ru/document/cons_doc_LAW_535057/" TargetMode="External"/><Relationship Id="rId16" Type="http://schemas.openxmlformats.org/officeDocument/2006/relationships/hyperlink" Target="https://www.consultant.ru/document/cons_doc_LAW_517301/" TargetMode="External"/><Relationship Id="rId17" Type="http://schemas.openxmlformats.org/officeDocument/2006/relationships/image" Target="media/image2.png"/><Relationship Id="rId18" Type="http://schemas.openxmlformats.org/officeDocument/2006/relationships/image" Target="media/image3.png"/><Relationship Id="rId19" Type="http://schemas.openxmlformats.org/officeDocument/2006/relationships/image" Target="media/image4.png"/><Relationship Id="rId20"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hyperlink" Target="https://rosreestr.gov.ru/site/activity/gosudarstvennyy-reestr-kadastrovykh-inzhenerov/" TargetMode="External"/><Relationship Id="rId23" Type="http://schemas.openxmlformats.org/officeDocument/2006/relationships/hyperlink" Target="https://rosreestr.gov.ru/press/archive/rosreestr-i-pravitelstvo-tatarstana-podpisali-kompleksnuyu-dorozhnuyu-kartu/" TargetMode="External"/><Relationship Id="rId24" Type="http://schemas.openxmlformats.org/officeDocument/2006/relationships/hyperlink" Target="https://rosreestr.gov.ru/press/archive/rosreestr-na-pmef-predstavil-nspd-kak-effektivnyy-instrument-povysheniya-kapitalizatsii-strany/" TargetMode="External"/><Relationship Id="rId25" Type="http://schemas.openxmlformats.org/officeDocument/2006/relationships/hyperlink" Target="https://rosreestr.gov.ru/press/archive/pmef-2026-rosreestr-i-pravitelstvo-moskvy-podpisali-kompleksnuyu-dorozhnuyu-kartu/" TargetMode="External"/><Relationship Id="rId26" Type="http://schemas.openxmlformats.org/officeDocument/2006/relationships/hyperlink" Target="https://rosreestr.gov.ru/press/archive/rosreestr-na-pmef-2026-podpisal-2-memoranduma-o-vzaimoponimanii-s-profilnymi-vedomstvami-nikaragua/" TargetMode="External"/><Relationship Id="rId27" Type="http://schemas.openxmlformats.org/officeDocument/2006/relationships/hyperlink" Target="https://rosreestr.gov.ru/press/archive/ppk-roskadastr-i-miigaik-konsolidiruyut-nauchnyy-potentsial-i-proizvodstvennye-resursy/" TargetMode="External"/><Relationship Id="rId28" Type="http://schemas.openxmlformats.org/officeDocument/2006/relationships/hyperlink" Target="https://rosreestr.gov.ru/press/archive/ppk-roskadastr-i-oao-rzhd-dogovorilis-o-sotrudnichestve-v-sfere-ucheta-obektov-nedvizhimosti/" TargetMode="External"/><Relationship Id="rId29" Type="http://schemas.openxmlformats.org/officeDocument/2006/relationships/hyperlink" Target="https://rosreestr.gov.ru/press/archive/rukovoditel-rosreestra-i-gubernator-tulskoy-oblasti-obsudili-voprosy-povysheniya-kapitalizatsii-regi/" TargetMode="External"/><Relationship Id="rId30" Type="http://schemas.openxmlformats.org/officeDocument/2006/relationships/hyperlink" Target="https://max.ru/rosreestr/AZ6XX29USU8" TargetMode="External"/><Relationship Id="rId31" Type="http://schemas.openxmlformats.org/officeDocument/2006/relationships/hyperlink" Target="https://max.ru/rosreestr/AZ6b6FLSCz0" TargetMode="External"/><Relationship Id="rId32" Type="http://schemas.openxmlformats.org/officeDocument/2006/relationships/hyperlink" Target="https://rosreestr.gov.ru/activity/okazanie-gosudarstvennykh-uslug/kadastrovyy-uchet-i-ili-registratsiya-prav-/poryadok-uplaty-i-razmery-gosposhliny/perechen-vidov-registratsionnykh-deystviy-osushchestvlyaemykh-v-uskorennom-poryadke-a-takzhe-svedeni/" TargetMode="External"/><Relationship Id="rId33" Type="http://schemas.openxmlformats.org/officeDocument/2006/relationships/hyperlink" Target="https://www.nspd.gov.ru/" TargetMode="External"/><Relationship Id="rId34" Type="http://schemas.openxmlformats.org/officeDocument/2006/relationships/hyperlink" Target="https://rosreestr.gov.ru/" TargetMode="External"/><Relationship Id="rId35" Type="http://schemas.openxmlformats.org/officeDocument/2006/relationships/hyperlink" Target="https://www.gosuslugi.ru/" TargetMode="External"/><Relationship Id="rId36" Type="http://schemas.openxmlformats.org/officeDocument/2006/relationships/hyperlink" Target="https://rosreestr.gov.ru/" TargetMode="External"/><Relationship Id="rId37" Type="http://schemas.openxmlformats.org/officeDocument/2006/relationships/hyperlink" Target="https://mfc-nso.ru/" TargetMode="External"/><Relationship Id="rId38" Type="http://schemas.openxmlformats.org/officeDocument/2006/relationships/hyperlink" Target="https://nspd.gov.ru/" TargetMode="External"/><Relationship Id="rId39" Type="http://schemas.openxmlformats.org/officeDocument/2006/relationships/hyperlink" Target="https://vk.com/rosreestr_nsk?w=wall-46688657_13091" TargetMode="External"/></Relationships>
</file>

<file path=word/_rels/endnotes.xml.rels><?xml version="1.0" encoding="UTF-8" standalone="yes"?><Relationships xmlns="http://schemas.openxmlformats.org/package/2006/relationships"></Relationships>
</file>

<file path=word/_rels/footer1.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D1D05F-EA87-412F-94C7-22C86E3B3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Р7-Офис/2024.3.2.551</Application>
  <Company>Microsoft</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revision>92</cp:revision>
  <dcterms:created xsi:type="dcterms:W3CDTF">2023-01-26T03:20:00Z</dcterms:created>
  <dcterms:modified xsi:type="dcterms:W3CDTF">2026-07-07T03:12:03Z</dcterms:modified>
</cp:coreProperties>
</file>